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vertAnchor="page" w:horzAnchor="margin" w:tblpY="3091"/>
        <w:tblOverlap w:val="never"/>
        <w:tblW w:w="9906" w:type="dxa"/>
        <w:tblLayout w:type="fixed"/>
        <w:tblLook w:val="04A0" w:firstRow="1" w:lastRow="0" w:firstColumn="1" w:lastColumn="0" w:noHBand="0" w:noVBand="1"/>
      </w:tblPr>
      <w:tblGrid>
        <w:gridCol w:w="5954"/>
        <w:gridCol w:w="3952"/>
      </w:tblGrid>
      <w:tr w:rsidR="00403A87" w14:paraId="7322342C" w14:textId="77777777" w:rsidTr="007D16AB">
        <w:tc>
          <w:tcPr>
            <w:tcW w:w="5954" w:type="dxa"/>
          </w:tcPr>
          <w:p w14:paraId="25101FD4" w14:textId="77777777" w:rsidR="00403A87" w:rsidRPr="00192403" w:rsidRDefault="00403A87" w:rsidP="002F1973">
            <w:pPr>
              <w:pStyle w:val="Datum"/>
              <w:framePr w:wrap="auto" w:vAnchor="margin" w:hAnchor="text" w:yAlign="inline"/>
              <w:suppressOverlap w:val="0"/>
              <w:rPr>
                <w:sz w:val="20"/>
                <w:szCs w:val="20"/>
              </w:rPr>
            </w:pPr>
            <w:proofErr w:type="spellStart"/>
            <w:r w:rsidRPr="00192403">
              <w:rPr>
                <w:sz w:val="20"/>
                <w:szCs w:val="20"/>
              </w:rPr>
              <w:t>Bolzano</w:t>
            </w:r>
            <w:proofErr w:type="spellEnd"/>
            <w:r w:rsidRPr="00192403">
              <w:rPr>
                <w:sz w:val="20"/>
                <w:szCs w:val="20"/>
              </w:rPr>
              <w:t>,</w:t>
            </w:r>
            <w:r>
              <w:rPr>
                <w:sz w:val="20"/>
                <w:szCs w:val="20"/>
              </w:rPr>
              <w:t xml:space="preserve"> 29 </w:t>
            </w:r>
            <w:proofErr w:type="spellStart"/>
            <w:r>
              <w:rPr>
                <w:sz w:val="20"/>
                <w:szCs w:val="20"/>
              </w:rPr>
              <w:t>marzo</w:t>
            </w:r>
            <w:proofErr w:type="spellEnd"/>
            <w:r>
              <w:rPr>
                <w:sz w:val="20"/>
                <w:szCs w:val="20"/>
              </w:rPr>
              <w:t xml:space="preserve"> 2024</w:t>
            </w:r>
          </w:p>
        </w:tc>
        <w:tc>
          <w:tcPr>
            <w:tcW w:w="3952" w:type="dxa"/>
          </w:tcPr>
          <w:p w14:paraId="76A1CCF2" w14:textId="77777777" w:rsidR="00403A87" w:rsidRDefault="00403A87" w:rsidP="002F1973">
            <w:pPr>
              <w:spacing w:line="240" w:lineRule="atLeast"/>
            </w:pPr>
          </w:p>
          <w:p w14:paraId="38406450" w14:textId="77777777" w:rsidR="00403A87" w:rsidRDefault="00403A87" w:rsidP="002F1973">
            <w:pPr>
              <w:spacing w:line="240" w:lineRule="atLeast"/>
            </w:pPr>
          </w:p>
          <w:p w14:paraId="19552968" w14:textId="77777777" w:rsidR="00403A87" w:rsidRPr="002C4E31" w:rsidRDefault="00403A87" w:rsidP="002F1973">
            <w:pPr>
              <w:spacing w:line="240" w:lineRule="atLeast"/>
            </w:pPr>
          </w:p>
        </w:tc>
      </w:tr>
    </w:tbl>
    <w:p w14:paraId="154A1109" w14:textId="77777777" w:rsidR="007D16AB" w:rsidRDefault="007D16AB" w:rsidP="007D16AB">
      <w:pPr>
        <w:pStyle w:val="Betreffzeile"/>
        <w:jc w:val="both"/>
        <w:rPr>
          <w:sz w:val="32"/>
          <w:szCs w:val="32"/>
          <w:lang w:val="it-IT"/>
        </w:rPr>
      </w:pPr>
      <w:r w:rsidRPr="00B36365">
        <w:rPr>
          <w:sz w:val="32"/>
          <w:szCs w:val="32"/>
          <w:lang w:val="it-IT"/>
        </w:rPr>
        <w:t>Gruppo Alperia: possibile emissione di un Bond destinato anche a investitori retail - risultati economici 2023 molto positivi</w:t>
      </w:r>
    </w:p>
    <w:p w14:paraId="557C3EFD" w14:textId="77777777" w:rsidR="007D16AB" w:rsidRPr="00EE4F11" w:rsidRDefault="007D16AB" w:rsidP="007D16AB">
      <w:pPr>
        <w:pStyle w:val="Betreffzeile"/>
        <w:jc w:val="both"/>
        <w:rPr>
          <w:sz w:val="24"/>
          <w:szCs w:val="24"/>
          <w:lang w:val="it-IT"/>
        </w:rPr>
      </w:pPr>
    </w:p>
    <w:p w14:paraId="1A895D02" w14:textId="77777777" w:rsidR="007D16AB" w:rsidRPr="00EE4F11" w:rsidRDefault="007D16AB" w:rsidP="007D16AB">
      <w:pPr>
        <w:pStyle w:val="Betreffzeile"/>
        <w:rPr>
          <w:lang w:val="it-IT"/>
        </w:rPr>
      </w:pPr>
    </w:p>
    <w:p w14:paraId="22C1DB30" w14:textId="78C108C3" w:rsidR="007D16AB" w:rsidRPr="000B14A9" w:rsidRDefault="007D16AB" w:rsidP="007D16AB">
      <w:pPr>
        <w:pStyle w:val="Betreffzeile"/>
        <w:numPr>
          <w:ilvl w:val="0"/>
          <w:numId w:val="6"/>
        </w:numPr>
        <w:jc w:val="both"/>
        <w:rPr>
          <w:rFonts w:cs="Arial"/>
          <w:szCs w:val="20"/>
          <w:lang w:val="it-IT"/>
        </w:rPr>
      </w:pPr>
      <w:r>
        <w:rPr>
          <w:rFonts w:cs="Arial"/>
          <w:szCs w:val="20"/>
          <w:lang w:val="it-IT"/>
        </w:rPr>
        <w:t xml:space="preserve">Il Consiglio di Gestione valuta la possibile </w:t>
      </w:r>
      <w:r w:rsidRPr="00D33AB1">
        <w:rPr>
          <w:rFonts w:cs="Arial"/>
          <w:szCs w:val="20"/>
          <w:lang w:val="it-IT"/>
        </w:rPr>
        <w:t xml:space="preserve">emissione obbligazionaria </w:t>
      </w:r>
      <w:r w:rsidRPr="000B14A9">
        <w:rPr>
          <w:rFonts w:cs="Arial"/>
          <w:szCs w:val="20"/>
          <w:lang w:val="it-IT"/>
        </w:rPr>
        <w:t xml:space="preserve">per il pubblico indistinto in Italia oltre che per investitori qualificati italiani </w:t>
      </w:r>
      <w:proofErr w:type="gramStart"/>
      <w:r w:rsidRPr="000B14A9">
        <w:rPr>
          <w:rFonts w:cs="Arial"/>
          <w:szCs w:val="20"/>
          <w:lang w:val="it-IT"/>
        </w:rPr>
        <w:t>e</w:t>
      </w:r>
      <w:proofErr w:type="gramEnd"/>
      <w:r w:rsidRPr="000B14A9">
        <w:rPr>
          <w:rFonts w:cs="Arial"/>
          <w:szCs w:val="20"/>
          <w:lang w:val="it-IT"/>
        </w:rPr>
        <w:t xml:space="preserve"> esteri</w:t>
      </w:r>
    </w:p>
    <w:p w14:paraId="02028287" w14:textId="77777777" w:rsidR="007D16AB" w:rsidRPr="00981C1C" w:rsidRDefault="007D16AB" w:rsidP="007D16AB">
      <w:pPr>
        <w:pStyle w:val="Betreffzeile"/>
        <w:numPr>
          <w:ilvl w:val="0"/>
          <w:numId w:val="6"/>
        </w:numPr>
        <w:jc w:val="both"/>
        <w:rPr>
          <w:rFonts w:cs="Arial"/>
          <w:szCs w:val="20"/>
          <w:lang w:val="it-IT"/>
        </w:rPr>
      </w:pPr>
      <w:r>
        <w:rPr>
          <w:rFonts w:cs="Arial"/>
          <w:szCs w:val="20"/>
          <w:lang w:val="it-IT"/>
        </w:rPr>
        <w:t>Risultati di Gruppo riferiti al 2023 molto positivi: l’</w:t>
      </w:r>
      <w:r w:rsidRPr="00D33AB1">
        <w:rPr>
          <w:rFonts w:cs="Arial"/>
          <w:szCs w:val="20"/>
          <w:lang w:val="it-IT"/>
        </w:rPr>
        <w:t xml:space="preserve">EBITDA pari a </w:t>
      </w:r>
      <w:r w:rsidRPr="00981C1C">
        <w:rPr>
          <w:rFonts w:cs="Arial"/>
          <w:szCs w:val="20"/>
          <w:lang w:val="it-IT"/>
        </w:rPr>
        <w:t xml:space="preserve">circa 328 milioni di euro (+ 20% rispetto al 2022) e utile netto pari a circa 84 milioni di euro (+ 38% rispetto all’anno precedente) </w:t>
      </w:r>
    </w:p>
    <w:p w14:paraId="35563076" w14:textId="77777777" w:rsidR="007D16AB" w:rsidRPr="00D33AB1" w:rsidRDefault="007D16AB" w:rsidP="007D16AB">
      <w:pPr>
        <w:pStyle w:val="Betreffzeile"/>
        <w:numPr>
          <w:ilvl w:val="0"/>
          <w:numId w:val="6"/>
        </w:numPr>
        <w:jc w:val="both"/>
        <w:rPr>
          <w:rFonts w:cs="Arial"/>
          <w:szCs w:val="20"/>
          <w:lang w:val="it-IT"/>
        </w:rPr>
      </w:pPr>
      <w:r w:rsidRPr="00D33AB1">
        <w:rPr>
          <w:rFonts w:cs="Arial"/>
          <w:szCs w:val="20"/>
          <w:lang w:val="it-IT"/>
        </w:rPr>
        <w:t xml:space="preserve">Importanti investimenti di Gruppo effettuati nel 2023 pari a </w:t>
      </w:r>
      <w:r w:rsidRPr="00981C1C">
        <w:rPr>
          <w:rFonts w:cs="Arial"/>
          <w:szCs w:val="20"/>
          <w:lang w:val="it-IT"/>
        </w:rPr>
        <w:t>circa 175</w:t>
      </w:r>
      <w:r w:rsidRPr="00D33AB1">
        <w:rPr>
          <w:rFonts w:cs="Arial"/>
          <w:szCs w:val="20"/>
          <w:lang w:val="it-IT"/>
        </w:rPr>
        <w:t xml:space="preserve"> milioni di euro</w:t>
      </w:r>
    </w:p>
    <w:p w14:paraId="468DFA48" w14:textId="77777777" w:rsidR="007D16AB" w:rsidRPr="00D33AB1" w:rsidRDefault="007D16AB" w:rsidP="007D16AB">
      <w:pPr>
        <w:pStyle w:val="Betreffzeile"/>
        <w:numPr>
          <w:ilvl w:val="0"/>
          <w:numId w:val="6"/>
        </w:numPr>
        <w:jc w:val="both"/>
        <w:rPr>
          <w:rFonts w:cs="Arial"/>
          <w:szCs w:val="20"/>
          <w:lang w:val="it-IT"/>
        </w:rPr>
      </w:pPr>
      <w:r w:rsidRPr="00D33AB1">
        <w:rPr>
          <w:rFonts w:cs="Arial"/>
          <w:szCs w:val="20"/>
          <w:lang w:val="it-IT"/>
        </w:rPr>
        <w:t>Creazione di valore aggiunto per il proprio territorio pari a</w:t>
      </w:r>
      <w:r>
        <w:rPr>
          <w:rFonts w:cs="Arial"/>
          <w:szCs w:val="20"/>
          <w:lang w:val="it-IT"/>
        </w:rPr>
        <w:t xml:space="preserve"> circa</w:t>
      </w:r>
      <w:r w:rsidRPr="00D33AB1">
        <w:rPr>
          <w:rFonts w:cs="Arial"/>
          <w:szCs w:val="20"/>
          <w:lang w:val="it-IT"/>
        </w:rPr>
        <w:t xml:space="preserve"> </w:t>
      </w:r>
      <w:r>
        <w:rPr>
          <w:rFonts w:cs="Arial"/>
          <w:szCs w:val="20"/>
          <w:lang w:val="it-IT"/>
        </w:rPr>
        <w:t>389</w:t>
      </w:r>
      <w:r w:rsidRPr="00D33AB1">
        <w:rPr>
          <w:rFonts w:cs="Arial"/>
          <w:szCs w:val="20"/>
          <w:lang w:val="it-IT"/>
        </w:rPr>
        <w:t xml:space="preserve"> milioni di euro</w:t>
      </w:r>
      <w:r>
        <w:rPr>
          <w:rFonts w:cs="Arial"/>
          <w:szCs w:val="20"/>
          <w:lang w:val="it-IT"/>
        </w:rPr>
        <w:t>, in consistente aumento rispetto a quello generato nel 2022, pari a circa 277 milioni di euro</w:t>
      </w:r>
      <w:r w:rsidRPr="00D33AB1">
        <w:rPr>
          <w:rFonts w:cs="Arial"/>
          <w:szCs w:val="20"/>
          <w:lang w:val="it-IT"/>
        </w:rPr>
        <w:t xml:space="preserve"> </w:t>
      </w:r>
    </w:p>
    <w:p w14:paraId="4FC77DB6" w14:textId="77777777" w:rsidR="007D16AB" w:rsidRPr="00CF2ED8" w:rsidRDefault="007D16AB" w:rsidP="007D16AB">
      <w:pPr>
        <w:pStyle w:val="Betreffzeile"/>
        <w:numPr>
          <w:ilvl w:val="0"/>
          <w:numId w:val="6"/>
        </w:numPr>
        <w:jc w:val="both"/>
        <w:rPr>
          <w:rFonts w:cs="Arial"/>
          <w:szCs w:val="20"/>
          <w:lang w:val="it-IT"/>
        </w:rPr>
      </w:pPr>
      <w:r w:rsidRPr="00CF2ED8">
        <w:rPr>
          <w:rFonts w:cs="Arial"/>
          <w:szCs w:val="20"/>
          <w:lang w:val="it-IT"/>
        </w:rPr>
        <w:t>Dividendi proposti, pari a 34,0 milioni di euro, in aumento rispetto ai dividendi deliberati nel 2023 (+ 2,0 milioni), in linea con quanto previsto dal Piano industriale 2023 – 2027</w:t>
      </w:r>
    </w:p>
    <w:p w14:paraId="332E9BFD" w14:textId="77777777" w:rsidR="007D16AB" w:rsidRDefault="007D16AB" w:rsidP="007D16AB">
      <w:pPr>
        <w:jc w:val="center"/>
        <w:rPr>
          <w:rFonts w:cs="Arial"/>
          <w:bCs/>
          <w:lang w:val="it-IT"/>
        </w:rPr>
      </w:pPr>
    </w:p>
    <w:p w14:paraId="1E230FD4" w14:textId="77777777" w:rsidR="007D16AB" w:rsidRPr="00EE4F11" w:rsidRDefault="007D16AB" w:rsidP="007D16AB">
      <w:pPr>
        <w:jc w:val="center"/>
        <w:rPr>
          <w:rFonts w:cs="Arial"/>
          <w:bCs/>
          <w:lang w:val="it-IT"/>
        </w:rPr>
      </w:pPr>
    </w:p>
    <w:p w14:paraId="42230677" w14:textId="77777777" w:rsidR="007D16AB" w:rsidRPr="00F61016" w:rsidRDefault="007D16AB" w:rsidP="007D16AB">
      <w:pPr>
        <w:jc w:val="center"/>
        <w:rPr>
          <w:rFonts w:cs="Arial"/>
          <w:bCs/>
          <w:lang w:val="it-IT"/>
        </w:rPr>
      </w:pPr>
      <w:r w:rsidRPr="00EE4F11">
        <w:rPr>
          <w:rFonts w:cs="Arial"/>
          <w:bCs/>
          <w:lang w:val="it-IT"/>
        </w:rPr>
        <w:t>********</w:t>
      </w:r>
    </w:p>
    <w:p w14:paraId="54BBE3E3" w14:textId="77777777" w:rsidR="007D16AB" w:rsidRDefault="007D16AB" w:rsidP="007D16AB">
      <w:pPr>
        <w:jc w:val="both"/>
        <w:rPr>
          <w:b/>
          <w:iCs/>
          <w:sz w:val="22"/>
          <w:lang w:val="it-IT"/>
        </w:rPr>
      </w:pPr>
      <w:bookmarkStart w:id="0" w:name="_Hlk161917605"/>
      <w:r w:rsidRPr="00F61016">
        <w:rPr>
          <w:b/>
          <w:iCs/>
          <w:sz w:val="22"/>
          <w:lang w:val="it-IT"/>
        </w:rPr>
        <w:t>Eventuale emissione di un prestito obbligazionario</w:t>
      </w:r>
      <w:r>
        <w:rPr>
          <w:b/>
          <w:iCs/>
          <w:sz w:val="22"/>
          <w:lang w:val="it-IT"/>
        </w:rPr>
        <w:t xml:space="preserve"> green</w:t>
      </w:r>
    </w:p>
    <w:p w14:paraId="47226171" w14:textId="77777777" w:rsidR="007D16AB" w:rsidRDefault="007D16AB" w:rsidP="007D16AB">
      <w:pPr>
        <w:jc w:val="both"/>
        <w:rPr>
          <w:b/>
          <w:iCs/>
          <w:sz w:val="22"/>
          <w:lang w:val="it-IT"/>
        </w:rPr>
      </w:pPr>
    </w:p>
    <w:p w14:paraId="0D010E0F" w14:textId="77777777" w:rsidR="007D16AB" w:rsidRDefault="007D16AB" w:rsidP="007D16AB">
      <w:pPr>
        <w:jc w:val="both"/>
        <w:rPr>
          <w:rFonts w:cs="Arial"/>
          <w:bCs/>
          <w:lang w:val="it-IT"/>
        </w:rPr>
      </w:pPr>
      <w:r w:rsidRPr="00B36365">
        <w:rPr>
          <w:rFonts w:cs="Arial"/>
          <w:bCs/>
          <w:lang w:val="it-IT"/>
        </w:rPr>
        <w:t xml:space="preserve">Il Consiglio di Gestione di Alperia Spa in data 28 marzo 2024 ha deliberato di procedere con le attività di studio e quelle propedeutiche </w:t>
      </w:r>
      <w:r>
        <w:rPr>
          <w:rFonts w:cs="Arial"/>
          <w:bCs/>
          <w:lang w:val="it-IT"/>
        </w:rPr>
        <w:t xml:space="preserve">ad una </w:t>
      </w:r>
      <w:r w:rsidRPr="00B36365">
        <w:rPr>
          <w:rFonts w:cs="Arial"/>
          <w:bCs/>
          <w:lang w:val="it-IT"/>
        </w:rPr>
        <w:t xml:space="preserve">potenziale nuova emissione obbligazionaria </w:t>
      </w:r>
      <w:r>
        <w:rPr>
          <w:rFonts w:cs="Arial"/>
          <w:bCs/>
          <w:lang w:val="it-IT"/>
        </w:rPr>
        <w:t xml:space="preserve">da </w:t>
      </w:r>
      <w:r w:rsidRPr="00B36365">
        <w:rPr>
          <w:rFonts w:cs="Arial"/>
          <w:bCs/>
          <w:lang w:val="it-IT"/>
        </w:rPr>
        <w:t>destina</w:t>
      </w:r>
      <w:r>
        <w:rPr>
          <w:rFonts w:cs="Arial"/>
          <w:bCs/>
          <w:lang w:val="it-IT"/>
        </w:rPr>
        <w:t>re</w:t>
      </w:r>
      <w:r w:rsidRPr="00B36365">
        <w:rPr>
          <w:rFonts w:cs="Arial"/>
          <w:bCs/>
          <w:lang w:val="it-IT"/>
        </w:rPr>
        <w:t xml:space="preserve"> non solo ad investitori qualificati italiani ed esteri ma – esclusivamente in Italia – </w:t>
      </w:r>
      <w:r>
        <w:rPr>
          <w:rFonts w:cs="Arial"/>
          <w:bCs/>
          <w:lang w:val="it-IT"/>
        </w:rPr>
        <w:t xml:space="preserve">anche </w:t>
      </w:r>
      <w:r w:rsidRPr="00B36365">
        <w:rPr>
          <w:rFonts w:cs="Arial"/>
          <w:bCs/>
          <w:lang w:val="it-IT"/>
        </w:rPr>
        <w:t>al pubblico indistinto.</w:t>
      </w:r>
    </w:p>
    <w:p w14:paraId="7C851F66" w14:textId="77777777" w:rsidR="007D16AB" w:rsidRPr="00D33AB1" w:rsidRDefault="007D16AB" w:rsidP="007D16AB">
      <w:pPr>
        <w:jc w:val="both"/>
        <w:rPr>
          <w:rFonts w:cs="Arial"/>
          <w:bCs/>
          <w:lang w:val="it-IT"/>
        </w:rPr>
      </w:pPr>
    </w:p>
    <w:p w14:paraId="1A1296F9" w14:textId="77777777" w:rsidR="007D16AB" w:rsidRDefault="007D16AB" w:rsidP="007D16AB">
      <w:pPr>
        <w:jc w:val="both"/>
        <w:rPr>
          <w:rFonts w:cs="Arial"/>
          <w:bCs/>
          <w:lang w:val="it-IT"/>
        </w:rPr>
      </w:pPr>
      <w:r w:rsidRPr="00D33AB1">
        <w:rPr>
          <w:rFonts w:cs="Arial"/>
          <w:bCs/>
          <w:lang w:val="it-IT"/>
        </w:rPr>
        <w:t xml:space="preserve">Il prestito obbligazionario in oggetto </w:t>
      </w:r>
      <w:r>
        <w:rPr>
          <w:rFonts w:cs="Arial"/>
          <w:bCs/>
          <w:lang w:val="it-IT"/>
        </w:rPr>
        <w:t>potrebbe avere</w:t>
      </w:r>
      <w:r w:rsidRPr="00D33AB1">
        <w:rPr>
          <w:rFonts w:cs="Arial"/>
          <w:bCs/>
          <w:lang w:val="it-IT"/>
        </w:rPr>
        <w:t xml:space="preserve"> un </w:t>
      </w:r>
      <w:r w:rsidRPr="00347FCF">
        <w:rPr>
          <w:rFonts w:cs="Arial"/>
          <w:bCs/>
          <w:lang w:val="it-IT"/>
        </w:rPr>
        <w:t xml:space="preserve">ammontare compreso tra 100 milioni e 250 </w:t>
      </w:r>
      <w:r w:rsidRPr="006E3628">
        <w:rPr>
          <w:rFonts w:cs="Arial"/>
          <w:bCs/>
          <w:lang w:val="it-IT"/>
        </w:rPr>
        <w:t>milioni d</w:t>
      </w:r>
      <w:r>
        <w:rPr>
          <w:rFonts w:cs="Arial"/>
          <w:bCs/>
          <w:lang w:val="it-IT"/>
        </w:rPr>
        <w:t xml:space="preserve">i euro </w:t>
      </w:r>
      <w:r w:rsidRPr="00D33AB1">
        <w:rPr>
          <w:rFonts w:cs="Arial"/>
          <w:bCs/>
          <w:lang w:val="it-IT"/>
        </w:rPr>
        <w:t xml:space="preserve">ed una durata compresa tra 5 e 7 anni. </w:t>
      </w:r>
      <w:r w:rsidRPr="00430577">
        <w:rPr>
          <w:rFonts w:cs="Arial"/>
          <w:bCs/>
          <w:lang w:val="it-IT"/>
        </w:rPr>
        <w:t>Il taglio minimo di ciascuna obbligazione sarà di mille euro.</w:t>
      </w:r>
      <w:r w:rsidRPr="00D33AB1">
        <w:rPr>
          <w:rFonts w:cs="Arial"/>
          <w:bCs/>
          <w:lang w:val="it-IT"/>
        </w:rPr>
        <w:t xml:space="preserve"> </w:t>
      </w:r>
    </w:p>
    <w:p w14:paraId="56369F4E" w14:textId="77777777" w:rsidR="007D16AB" w:rsidRPr="00D33AB1" w:rsidRDefault="007D16AB" w:rsidP="007D16AB">
      <w:pPr>
        <w:jc w:val="both"/>
        <w:rPr>
          <w:rFonts w:cs="Arial"/>
          <w:bCs/>
          <w:lang w:val="it-IT"/>
        </w:rPr>
      </w:pPr>
    </w:p>
    <w:p w14:paraId="088A4CCE" w14:textId="77777777" w:rsidR="007D16AB" w:rsidRDefault="007D16AB" w:rsidP="007D16AB">
      <w:pPr>
        <w:jc w:val="both"/>
        <w:rPr>
          <w:rFonts w:cs="Arial"/>
          <w:bCs/>
          <w:lang w:val="it-IT"/>
        </w:rPr>
      </w:pPr>
      <w:r w:rsidRPr="00765A64">
        <w:rPr>
          <w:rFonts w:cs="Arial"/>
          <w:bCs/>
          <w:lang w:val="it-IT"/>
        </w:rPr>
        <w:t>Tramite la distribuzione al pubblico indistinto, Alperia si</w:t>
      </w:r>
      <w:r>
        <w:rPr>
          <w:rFonts w:cs="Arial"/>
          <w:bCs/>
          <w:lang w:val="it-IT"/>
        </w:rPr>
        <w:t xml:space="preserve"> pone l’obiettivo </w:t>
      </w:r>
      <w:r w:rsidRPr="00765A64">
        <w:rPr>
          <w:rFonts w:cs="Arial"/>
          <w:bCs/>
          <w:lang w:val="it-IT"/>
        </w:rPr>
        <w:t>di rafforzare il rapporto con i territori</w:t>
      </w:r>
      <w:r w:rsidRPr="002A640F">
        <w:rPr>
          <w:rFonts w:cs="Arial"/>
          <w:bCs/>
          <w:lang w:val="it-IT"/>
        </w:rPr>
        <w:t xml:space="preserve"> in cui opera, offrendo </w:t>
      </w:r>
      <w:r>
        <w:rPr>
          <w:rFonts w:cs="Arial"/>
          <w:bCs/>
          <w:lang w:val="it-IT"/>
        </w:rPr>
        <w:t xml:space="preserve">alla popolazione </w:t>
      </w:r>
      <w:r w:rsidRPr="002A640F">
        <w:rPr>
          <w:rFonts w:cs="Arial"/>
          <w:bCs/>
          <w:lang w:val="it-IT"/>
        </w:rPr>
        <w:t xml:space="preserve">la possibilità di investire in obbligazioni green </w:t>
      </w:r>
      <w:r>
        <w:rPr>
          <w:rFonts w:cs="Arial"/>
          <w:bCs/>
          <w:lang w:val="it-IT"/>
        </w:rPr>
        <w:t xml:space="preserve">finanziando la strategia di sostenibilità del Gruppo </w:t>
      </w:r>
      <w:r w:rsidRPr="002A640F">
        <w:rPr>
          <w:rFonts w:cs="Arial"/>
          <w:bCs/>
          <w:lang w:val="it-IT"/>
        </w:rPr>
        <w:t>e quindi di prender parte insieme a</w:t>
      </w:r>
      <w:r>
        <w:rPr>
          <w:rFonts w:cs="Arial"/>
          <w:bCs/>
          <w:lang w:val="it-IT"/>
        </w:rPr>
        <w:t xml:space="preserve"> lei</w:t>
      </w:r>
      <w:r w:rsidRPr="002A640F">
        <w:rPr>
          <w:rFonts w:cs="Arial"/>
          <w:bCs/>
          <w:lang w:val="it-IT"/>
        </w:rPr>
        <w:t xml:space="preserve"> allo sviluppo sostenibile e alla transizione energetica.</w:t>
      </w:r>
    </w:p>
    <w:p w14:paraId="3CB129AB" w14:textId="77777777" w:rsidR="007D16AB" w:rsidRDefault="007D16AB" w:rsidP="007D16AB">
      <w:pPr>
        <w:jc w:val="both"/>
        <w:rPr>
          <w:rFonts w:cs="Arial"/>
          <w:bCs/>
          <w:lang w:val="it-IT"/>
        </w:rPr>
      </w:pPr>
    </w:p>
    <w:p w14:paraId="73984CC0" w14:textId="77777777" w:rsidR="007D16AB" w:rsidRPr="00B36365" w:rsidRDefault="007D16AB" w:rsidP="007D16AB">
      <w:pPr>
        <w:jc w:val="both"/>
        <w:rPr>
          <w:rFonts w:cs="Arial"/>
          <w:bCs/>
          <w:lang w:val="it-IT"/>
        </w:rPr>
      </w:pPr>
      <w:r w:rsidRPr="00B36365">
        <w:rPr>
          <w:rFonts w:cs="Arial"/>
          <w:bCs/>
          <w:lang w:val="it-IT"/>
        </w:rPr>
        <w:lastRenderedPageBreak/>
        <w:t>Nel caso in cui le attività di studio e quelle propedeutiche</w:t>
      </w:r>
      <w:r>
        <w:rPr>
          <w:rFonts w:cs="Arial"/>
          <w:bCs/>
          <w:lang w:val="it-IT"/>
        </w:rPr>
        <w:t xml:space="preserve">, supportate da </w:t>
      </w:r>
      <w:r w:rsidRPr="00911C23">
        <w:rPr>
          <w:rFonts w:cs="Arial"/>
          <w:bCs/>
          <w:lang w:val="it-IT"/>
        </w:rPr>
        <w:t xml:space="preserve">Banca Akros S.p.A. ed </w:t>
      </w:r>
      <w:proofErr w:type="spellStart"/>
      <w:r w:rsidRPr="00911C23">
        <w:rPr>
          <w:rFonts w:cs="Arial"/>
          <w:bCs/>
          <w:lang w:val="it-IT"/>
        </w:rPr>
        <w:t>Equita</w:t>
      </w:r>
      <w:proofErr w:type="spellEnd"/>
      <w:r w:rsidRPr="00911C23">
        <w:rPr>
          <w:rFonts w:cs="Arial"/>
          <w:bCs/>
          <w:lang w:val="it-IT"/>
        </w:rPr>
        <w:t xml:space="preserve"> SIM S.p.A.</w:t>
      </w:r>
      <w:r>
        <w:rPr>
          <w:rFonts w:cs="Arial"/>
          <w:bCs/>
          <w:lang w:val="it-IT"/>
        </w:rPr>
        <w:t xml:space="preserve"> nonché </w:t>
      </w:r>
      <w:proofErr w:type="spellStart"/>
      <w:r>
        <w:rPr>
          <w:rFonts w:cs="Arial"/>
          <w:bCs/>
          <w:lang w:val="it-IT"/>
        </w:rPr>
        <w:t>dall’advisor</w:t>
      </w:r>
      <w:proofErr w:type="spellEnd"/>
      <w:r>
        <w:rPr>
          <w:rFonts w:cs="Arial"/>
          <w:bCs/>
          <w:lang w:val="it-IT"/>
        </w:rPr>
        <w:t xml:space="preserve"> indipendente </w:t>
      </w:r>
      <w:proofErr w:type="spellStart"/>
      <w:r>
        <w:rPr>
          <w:rFonts w:cs="Arial"/>
          <w:bCs/>
          <w:lang w:val="it-IT"/>
        </w:rPr>
        <w:t>Ethica</w:t>
      </w:r>
      <w:proofErr w:type="spellEnd"/>
      <w:r>
        <w:rPr>
          <w:rFonts w:cs="Arial"/>
          <w:bCs/>
          <w:lang w:val="it-IT"/>
        </w:rPr>
        <w:t xml:space="preserve"> </w:t>
      </w:r>
      <w:proofErr w:type="spellStart"/>
      <w:r>
        <w:rPr>
          <w:rFonts w:cs="Arial"/>
          <w:bCs/>
          <w:lang w:val="it-IT"/>
        </w:rPr>
        <w:t>Debt</w:t>
      </w:r>
      <w:proofErr w:type="spellEnd"/>
      <w:r>
        <w:rPr>
          <w:rFonts w:cs="Arial"/>
          <w:bCs/>
          <w:lang w:val="it-IT"/>
        </w:rPr>
        <w:t xml:space="preserve"> </w:t>
      </w:r>
      <w:proofErr w:type="spellStart"/>
      <w:r>
        <w:rPr>
          <w:rFonts w:cs="Arial"/>
          <w:bCs/>
          <w:lang w:val="it-IT"/>
        </w:rPr>
        <w:t>Advisory</w:t>
      </w:r>
      <w:proofErr w:type="spellEnd"/>
      <w:r>
        <w:rPr>
          <w:rFonts w:cs="Arial"/>
          <w:bCs/>
          <w:lang w:val="it-IT"/>
        </w:rPr>
        <w:t>,</w:t>
      </w:r>
      <w:r w:rsidRPr="00B36365">
        <w:rPr>
          <w:rFonts w:cs="Arial"/>
          <w:bCs/>
          <w:lang w:val="it-IT"/>
        </w:rPr>
        <w:t xml:space="preserve"> abbiano esito positivo, l’emissione sarà sottoposta all’approvazione del Consiglio di Gestione e del Consiglio di Sorveglianza di Alperi</w:t>
      </w:r>
      <w:r>
        <w:rPr>
          <w:rFonts w:cs="Arial"/>
          <w:bCs/>
          <w:lang w:val="it-IT"/>
        </w:rPr>
        <w:t>a.</w:t>
      </w:r>
    </w:p>
    <w:p w14:paraId="34C55477" w14:textId="77777777" w:rsidR="007D16AB" w:rsidRDefault="007D16AB" w:rsidP="007D16AB">
      <w:pPr>
        <w:jc w:val="both"/>
        <w:rPr>
          <w:rFonts w:cs="Arial"/>
          <w:bCs/>
          <w:lang w:val="it-IT"/>
        </w:rPr>
      </w:pPr>
    </w:p>
    <w:p w14:paraId="114636AB" w14:textId="77777777" w:rsidR="007D16AB" w:rsidRPr="00B36365" w:rsidRDefault="007D16AB" w:rsidP="007D16AB">
      <w:pPr>
        <w:jc w:val="both"/>
        <w:rPr>
          <w:rFonts w:cs="Arial"/>
          <w:bCs/>
          <w:lang w:val="it-IT"/>
        </w:rPr>
      </w:pPr>
      <w:r w:rsidRPr="00B36365">
        <w:rPr>
          <w:rFonts w:cs="Arial"/>
          <w:bCs/>
          <w:lang w:val="it-IT"/>
        </w:rPr>
        <w:t xml:space="preserve">Il collocamento dell’eventuale nuova emissione </w:t>
      </w:r>
      <w:r>
        <w:rPr>
          <w:rFonts w:cs="Arial"/>
          <w:bCs/>
          <w:lang w:val="it-IT"/>
        </w:rPr>
        <w:t>potrebbe</w:t>
      </w:r>
      <w:r w:rsidRPr="00B36365">
        <w:rPr>
          <w:rFonts w:cs="Arial"/>
          <w:bCs/>
          <w:lang w:val="it-IT"/>
        </w:rPr>
        <w:t xml:space="preserve"> presumibilmente avvenire tra la fine di maggio e l’inizio di giugno, qualora </w:t>
      </w:r>
      <w:r>
        <w:rPr>
          <w:rFonts w:cs="Arial"/>
          <w:bCs/>
          <w:lang w:val="it-IT"/>
        </w:rPr>
        <w:t>sussistano i</w:t>
      </w:r>
      <w:r w:rsidRPr="00B36365">
        <w:rPr>
          <w:rFonts w:cs="Arial"/>
          <w:bCs/>
          <w:lang w:val="it-IT"/>
        </w:rPr>
        <w:t>donee condizioni di mercato.</w:t>
      </w:r>
    </w:p>
    <w:p w14:paraId="4DAC0501" w14:textId="77777777" w:rsidR="007D16AB" w:rsidRPr="00B36365" w:rsidRDefault="007D16AB" w:rsidP="007D16AB">
      <w:pPr>
        <w:jc w:val="both"/>
        <w:rPr>
          <w:rFonts w:cs="Arial"/>
          <w:bCs/>
          <w:lang w:val="it-IT"/>
        </w:rPr>
      </w:pPr>
    </w:p>
    <w:p w14:paraId="5B48CAC2" w14:textId="77777777" w:rsidR="007D16AB" w:rsidRDefault="007D16AB" w:rsidP="007D16AB">
      <w:pPr>
        <w:jc w:val="both"/>
        <w:rPr>
          <w:rFonts w:cs="Arial"/>
          <w:bCs/>
          <w:lang w:val="it-IT"/>
        </w:rPr>
      </w:pPr>
      <w:r w:rsidRPr="00B36365">
        <w:rPr>
          <w:rFonts w:cs="Arial"/>
          <w:bCs/>
          <w:lang w:val="it-IT"/>
        </w:rPr>
        <w:t xml:space="preserve">Nel </w:t>
      </w:r>
      <w:r w:rsidRPr="00911C23">
        <w:rPr>
          <w:rFonts w:cs="Arial"/>
          <w:bCs/>
          <w:lang w:val="it-IT"/>
        </w:rPr>
        <w:t xml:space="preserve">contesto della nuova eventuale emissione saranno coinvolte, ai fini dell’offerta dei titoli, </w:t>
      </w:r>
      <w:r>
        <w:rPr>
          <w:rFonts w:cs="Arial"/>
          <w:bCs/>
          <w:lang w:val="it-IT"/>
        </w:rPr>
        <w:t xml:space="preserve">anche </w:t>
      </w:r>
      <w:r w:rsidRPr="00911C23">
        <w:rPr>
          <w:rFonts w:cs="Arial"/>
          <w:bCs/>
          <w:lang w:val="it-IT"/>
        </w:rPr>
        <w:t>le banche del territorio ed eventuali altri istituti finanziari.</w:t>
      </w:r>
      <w:r w:rsidRPr="00D33AB1">
        <w:rPr>
          <w:rFonts w:cs="Arial"/>
          <w:bCs/>
          <w:lang w:val="it-IT"/>
        </w:rPr>
        <w:t xml:space="preserve"> </w:t>
      </w:r>
    </w:p>
    <w:p w14:paraId="129754B0" w14:textId="77777777" w:rsidR="007D16AB" w:rsidRDefault="007D16AB" w:rsidP="007D16AB">
      <w:pPr>
        <w:jc w:val="both"/>
        <w:rPr>
          <w:rFonts w:cs="Arial"/>
          <w:bCs/>
          <w:lang w:val="it-IT"/>
        </w:rPr>
      </w:pPr>
    </w:p>
    <w:bookmarkEnd w:id="0"/>
    <w:p w14:paraId="5298A01B" w14:textId="77777777" w:rsidR="007D16AB" w:rsidRPr="00EE4F11" w:rsidRDefault="007D16AB" w:rsidP="007D16AB">
      <w:pPr>
        <w:jc w:val="both"/>
        <w:rPr>
          <w:rFonts w:cs="Arial"/>
          <w:bCs/>
          <w:szCs w:val="20"/>
          <w:lang w:val="it-IT"/>
        </w:rPr>
      </w:pPr>
    </w:p>
    <w:p w14:paraId="4443002E" w14:textId="77777777" w:rsidR="007D16AB" w:rsidRDefault="007D16AB" w:rsidP="007D16AB">
      <w:pPr>
        <w:jc w:val="both"/>
        <w:rPr>
          <w:rFonts w:cs="Arial"/>
          <w:b/>
          <w:lang w:val="it-IT"/>
        </w:rPr>
      </w:pPr>
      <w:r w:rsidRPr="007D67E3">
        <w:rPr>
          <w:rFonts w:cs="Arial"/>
          <w:b/>
          <w:lang w:val="it-IT"/>
        </w:rPr>
        <w:t xml:space="preserve">Bilancio 2023 </w:t>
      </w:r>
    </w:p>
    <w:p w14:paraId="596AAC6B" w14:textId="77777777" w:rsidR="007D16AB" w:rsidRDefault="007D16AB" w:rsidP="007D16AB">
      <w:pPr>
        <w:jc w:val="both"/>
        <w:rPr>
          <w:rFonts w:cs="Arial"/>
          <w:b/>
          <w:lang w:val="it-IT"/>
        </w:rPr>
      </w:pPr>
    </w:p>
    <w:p w14:paraId="6C655830" w14:textId="77777777" w:rsidR="007D16AB" w:rsidRPr="00D33AB1" w:rsidRDefault="007D16AB" w:rsidP="007D16AB">
      <w:pPr>
        <w:jc w:val="both"/>
        <w:rPr>
          <w:rFonts w:cs="Arial"/>
          <w:bCs/>
          <w:lang w:val="it-IT"/>
        </w:rPr>
      </w:pPr>
      <w:r>
        <w:rPr>
          <w:rFonts w:cs="Arial"/>
          <w:bCs/>
          <w:lang w:val="it-IT"/>
        </w:rPr>
        <w:t xml:space="preserve">Nella medesima seduta del </w:t>
      </w:r>
      <w:r w:rsidRPr="00D33AB1">
        <w:rPr>
          <w:rFonts w:cs="Arial"/>
          <w:bCs/>
          <w:lang w:val="it-IT"/>
        </w:rPr>
        <w:t>2</w:t>
      </w:r>
      <w:r>
        <w:rPr>
          <w:rFonts w:cs="Arial"/>
          <w:bCs/>
          <w:lang w:val="it-IT"/>
        </w:rPr>
        <w:t>8</w:t>
      </w:r>
      <w:r w:rsidRPr="00D33AB1">
        <w:rPr>
          <w:rFonts w:cs="Arial"/>
          <w:bCs/>
          <w:lang w:val="it-IT"/>
        </w:rPr>
        <w:t xml:space="preserve"> marzo 2024 il Consiglio di Gestione di Alperia Sp</w:t>
      </w:r>
      <w:r>
        <w:rPr>
          <w:rFonts w:cs="Arial"/>
          <w:bCs/>
          <w:lang w:val="it-IT"/>
        </w:rPr>
        <w:t>a</w:t>
      </w:r>
      <w:r w:rsidRPr="00D33AB1">
        <w:rPr>
          <w:rFonts w:cs="Arial"/>
          <w:bCs/>
          <w:lang w:val="it-IT"/>
        </w:rPr>
        <w:t xml:space="preserve"> ha esaminato e approvato</w:t>
      </w:r>
      <w:r>
        <w:rPr>
          <w:rFonts w:cs="Arial"/>
          <w:bCs/>
          <w:lang w:val="it-IT"/>
        </w:rPr>
        <w:t xml:space="preserve"> i progetti di bilancio </w:t>
      </w:r>
      <w:r w:rsidRPr="00D33AB1">
        <w:rPr>
          <w:rFonts w:cs="Arial"/>
          <w:bCs/>
          <w:lang w:val="it-IT"/>
        </w:rPr>
        <w:t>relativ</w:t>
      </w:r>
      <w:r>
        <w:rPr>
          <w:rFonts w:cs="Arial"/>
          <w:bCs/>
          <w:lang w:val="it-IT"/>
        </w:rPr>
        <w:t>i</w:t>
      </w:r>
      <w:r w:rsidRPr="00D33AB1">
        <w:rPr>
          <w:rFonts w:cs="Arial"/>
          <w:bCs/>
          <w:lang w:val="it-IT"/>
        </w:rPr>
        <w:t xml:space="preserve"> all’esercizio 2023 della Società e del Gruppo</w:t>
      </w:r>
      <w:r>
        <w:rPr>
          <w:rFonts w:cs="Arial"/>
          <w:bCs/>
          <w:lang w:val="it-IT"/>
        </w:rPr>
        <w:t>.</w:t>
      </w:r>
    </w:p>
    <w:p w14:paraId="06F5290B" w14:textId="77777777" w:rsidR="007D16AB" w:rsidRDefault="007D16AB" w:rsidP="007D16AB">
      <w:pPr>
        <w:jc w:val="both"/>
        <w:rPr>
          <w:rFonts w:cs="Arial"/>
          <w:bCs/>
          <w:lang w:val="it-IT"/>
        </w:rPr>
      </w:pPr>
    </w:p>
    <w:p w14:paraId="06344B5D" w14:textId="77777777" w:rsidR="007D16AB" w:rsidRPr="00D33AB1" w:rsidRDefault="007D16AB" w:rsidP="007D16AB">
      <w:pPr>
        <w:jc w:val="both"/>
        <w:rPr>
          <w:rFonts w:cs="Arial"/>
          <w:bCs/>
          <w:lang w:val="it-IT"/>
        </w:rPr>
      </w:pPr>
      <w:r w:rsidRPr="00D33AB1">
        <w:rPr>
          <w:rFonts w:cs="Arial"/>
          <w:bCs/>
          <w:lang w:val="it-IT"/>
        </w:rPr>
        <w:t xml:space="preserve">I ricavi complessivi di Gruppo si sono attestati a circa </w:t>
      </w:r>
      <w:r>
        <w:rPr>
          <w:rFonts w:cs="Arial"/>
          <w:bCs/>
          <w:lang w:val="it-IT"/>
        </w:rPr>
        <w:t>2,7</w:t>
      </w:r>
      <w:r w:rsidRPr="00D33AB1">
        <w:rPr>
          <w:rFonts w:cs="Arial"/>
          <w:bCs/>
          <w:lang w:val="it-IT"/>
        </w:rPr>
        <w:t xml:space="preserve"> miliardi di euro, in  calo rispetto all’anno </w:t>
      </w:r>
      <w:r w:rsidRPr="00981C1C">
        <w:rPr>
          <w:rFonts w:cs="Arial"/>
          <w:bCs/>
          <w:lang w:val="it-IT"/>
        </w:rPr>
        <w:t>scorso (- 25%), risentendo</w:t>
      </w:r>
      <w:r w:rsidRPr="00D33AB1">
        <w:rPr>
          <w:rFonts w:cs="Arial"/>
          <w:bCs/>
          <w:lang w:val="it-IT"/>
        </w:rPr>
        <w:t xml:space="preserve"> soprattutto della notevole riduzione dei prezzi delle commodities energetiche verificatosi nel corso del 2023: il prezzo medio dell’energia registrato presso la Borsa elettrica è infatti sceso da circa 304 euro/MWh del 2022 a circa 127 euro/MWh del 2023 (- 58%), valore in linea rispetto a quello fatto registrare nel 2021, annullando di fatto l’incremento record registrato nel 2022, in analogia con quanto osservato anche sulle altre principali borse elettriche europee.</w:t>
      </w:r>
      <w:r>
        <w:rPr>
          <w:rFonts w:cs="Arial"/>
          <w:bCs/>
          <w:lang w:val="it-IT"/>
        </w:rPr>
        <w:t xml:space="preserve"> </w:t>
      </w:r>
      <w:r w:rsidRPr="00D33AB1">
        <w:rPr>
          <w:rFonts w:cs="Arial"/>
          <w:bCs/>
          <w:lang w:val="it-IT"/>
        </w:rPr>
        <w:t xml:space="preserve">Per contro, in forte aumento rispetto all’anno precedente è risultata la produzione idroelettrica (+ </w:t>
      </w:r>
      <w:r>
        <w:rPr>
          <w:rFonts w:cs="Arial"/>
          <w:bCs/>
          <w:lang w:val="it-IT"/>
        </w:rPr>
        <w:t>43</w:t>
      </w:r>
      <w:r w:rsidRPr="00D33AB1">
        <w:rPr>
          <w:rFonts w:cs="Arial"/>
          <w:bCs/>
          <w:lang w:val="it-IT"/>
        </w:rPr>
        <w:t>%</w:t>
      </w:r>
      <w:r>
        <w:rPr>
          <w:rFonts w:cs="Arial"/>
          <w:bCs/>
          <w:lang w:val="it-IT"/>
        </w:rPr>
        <w:t>).</w:t>
      </w:r>
    </w:p>
    <w:p w14:paraId="1F3BE363" w14:textId="77777777" w:rsidR="007D16AB" w:rsidRPr="00D33AB1" w:rsidRDefault="007D16AB" w:rsidP="007D16AB">
      <w:pPr>
        <w:jc w:val="both"/>
        <w:rPr>
          <w:rFonts w:cs="Arial"/>
          <w:bCs/>
          <w:lang w:val="it-IT"/>
        </w:rPr>
      </w:pPr>
    </w:p>
    <w:p w14:paraId="578F1412" w14:textId="77777777" w:rsidR="007D16AB" w:rsidRPr="00D33AB1" w:rsidRDefault="007D16AB" w:rsidP="007D16AB">
      <w:pPr>
        <w:jc w:val="both"/>
        <w:rPr>
          <w:rFonts w:cs="Arial"/>
          <w:bCs/>
          <w:lang w:val="it-IT"/>
        </w:rPr>
      </w:pPr>
      <w:r w:rsidRPr="00D33AB1">
        <w:rPr>
          <w:rFonts w:cs="Arial"/>
          <w:bCs/>
          <w:lang w:val="it-IT"/>
        </w:rPr>
        <w:t>Si rammenta che per le politiche di hedging della produzione, il Gruppo</w:t>
      </w:r>
      <w:r>
        <w:rPr>
          <w:rFonts w:cs="Arial"/>
          <w:bCs/>
          <w:lang w:val="it-IT"/>
        </w:rPr>
        <w:t xml:space="preserve"> </w:t>
      </w:r>
      <w:proofErr w:type="gramStart"/>
      <w:r w:rsidRPr="00D33AB1">
        <w:rPr>
          <w:rFonts w:cs="Arial"/>
          <w:bCs/>
          <w:lang w:val="it-IT"/>
        </w:rPr>
        <w:t>risente  solo</w:t>
      </w:r>
      <w:proofErr w:type="gramEnd"/>
      <w:r w:rsidRPr="00D33AB1">
        <w:rPr>
          <w:rFonts w:cs="Arial"/>
          <w:bCs/>
          <w:lang w:val="it-IT"/>
        </w:rPr>
        <w:t xml:space="preserve"> parzialmente della variabilità dei prezzi registrati nell’anno. Come tutti gli operatori del settore, per mitigare il rischio di volatilità degli stessi, viene adottata una strategia di vendita in anticipo di gran parte dei volumi della propria produzione idroelettrica e di acquisto in anticipo di parte dei volumi destinati alla vendita ai clienti finali.</w:t>
      </w:r>
    </w:p>
    <w:p w14:paraId="2701DED7" w14:textId="77777777" w:rsidR="007D16AB" w:rsidRPr="00D33AB1" w:rsidRDefault="007D16AB" w:rsidP="007D16AB">
      <w:pPr>
        <w:jc w:val="both"/>
        <w:rPr>
          <w:rFonts w:cs="Arial"/>
          <w:bCs/>
          <w:lang w:val="it-IT"/>
        </w:rPr>
      </w:pPr>
    </w:p>
    <w:p w14:paraId="0DCEB1F4" w14:textId="77777777" w:rsidR="007D16AB" w:rsidRDefault="007D16AB" w:rsidP="007D16AB">
      <w:pPr>
        <w:jc w:val="both"/>
        <w:rPr>
          <w:rFonts w:cs="Arial"/>
          <w:bCs/>
          <w:szCs w:val="20"/>
          <w:lang w:val="it-IT"/>
        </w:rPr>
      </w:pPr>
      <w:r w:rsidRPr="00D33AB1">
        <w:rPr>
          <w:rFonts w:cs="Arial"/>
          <w:bCs/>
          <w:lang w:val="it-IT"/>
        </w:rPr>
        <w:t>I</w:t>
      </w:r>
      <w:r>
        <w:rPr>
          <w:rFonts w:cs="Arial"/>
          <w:bCs/>
          <w:lang w:val="it-IT"/>
        </w:rPr>
        <w:t xml:space="preserve"> progetti del</w:t>
      </w:r>
      <w:r w:rsidRPr="00D33AB1">
        <w:rPr>
          <w:rFonts w:cs="Arial"/>
          <w:bCs/>
          <w:lang w:val="it-IT"/>
        </w:rPr>
        <w:t xml:space="preserve"> </w:t>
      </w:r>
      <w:r w:rsidRPr="00D33AB1">
        <w:rPr>
          <w:rFonts w:cs="Arial"/>
          <w:bCs/>
          <w:szCs w:val="20"/>
          <w:lang w:val="it-IT"/>
        </w:rPr>
        <w:t xml:space="preserve">bilancio di esercizio e </w:t>
      </w:r>
      <w:r>
        <w:rPr>
          <w:rFonts w:cs="Arial"/>
          <w:bCs/>
          <w:szCs w:val="20"/>
          <w:lang w:val="it-IT"/>
        </w:rPr>
        <w:t xml:space="preserve">del </w:t>
      </w:r>
      <w:r w:rsidRPr="00D33AB1">
        <w:rPr>
          <w:rFonts w:cs="Arial"/>
          <w:bCs/>
          <w:szCs w:val="20"/>
          <w:lang w:val="it-IT"/>
        </w:rPr>
        <w:t>bilancio consolidato saranno ora sottoposti all’approvazione da parte del Consiglio di Sorveglianza in calendario il 29 aprile p.v.</w:t>
      </w:r>
    </w:p>
    <w:p w14:paraId="4D8D9AEE" w14:textId="77777777" w:rsidR="007D16AB" w:rsidRDefault="007D16AB" w:rsidP="007D16AB">
      <w:pPr>
        <w:jc w:val="both"/>
        <w:rPr>
          <w:rFonts w:cs="Arial"/>
          <w:bCs/>
          <w:szCs w:val="20"/>
          <w:lang w:val="it-IT"/>
        </w:rPr>
      </w:pPr>
    </w:p>
    <w:p w14:paraId="4C7D8CA1" w14:textId="77777777" w:rsidR="007D16AB" w:rsidRDefault="007D16AB" w:rsidP="007D16AB">
      <w:pPr>
        <w:jc w:val="both"/>
        <w:rPr>
          <w:rFonts w:cs="Arial"/>
          <w:bCs/>
          <w:szCs w:val="20"/>
          <w:lang w:val="it-IT"/>
        </w:rPr>
      </w:pPr>
    </w:p>
    <w:p w14:paraId="0788D31C" w14:textId="77777777" w:rsidR="007D16AB" w:rsidRPr="007D12CA" w:rsidRDefault="007D16AB" w:rsidP="007D16AB">
      <w:pPr>
        <w:jc w:val="both"/>
        <w:rPr>
          <w:rFonts w:cs="Arial"/>
          <w:b/>
          <w:lang w:val="it-IT"/>
        </w:rPr>
      </w:pPr>
      <w:r w:rsidRPr="007D12CA">
        <w:rPr>
          <w:rFonts w:cs="Arial"/>
          <w:b/>
          <w:lang w:val="it-IT"/>
        </w:rPr>
        <w:t>Ebitda e utile netto a livelli record</w:t>
      </w:r>
    </w:p>
    <w:p w14:paraId="27178BC0" w14:textId="77777777" w:rsidR="007D16AB" w:rsidRPr="00EE4F11" w:rsidRDefault="007D16AB" w:rsidP="007D16AB">
      <w:pPr>
        <w:jc w:val="both"/>
        <w:rPr>
          <w:rFonts w:cs="Arial"/>
          <w:szCs w:val="20"/>
          <w:lang w:val="it-IT"/>
        </w:rPr>
      </w:pPr>
    </w:p>
    <w:p w14:paraId="4D590F87" w14:textId="77777777" w:rsidR="007D16AB" w:rsidRDefault="007D16AB" w:rsidP="007D16AB">
      <w:pPr>
        <w:jc w:val="both"/>
        <w:rPr>
          <w:rFonts w:cs="Arial"/>
          <w:bCs/>
          <w:szCs w:val="20"/>
          <w:lang w:val="it-IT"/>
        </w:rPr>
      </w:pPr>
      <w:r w:rsidRPr="00D33AB1">
        <w:rPr>
          <w:rFonts w:cs="Arial"/>
          <w:bCs/>
          <w:szCs w:val="20"/>
          <w:lang w:val="it-IT"/>
        </w:rPr>
        <w:t xml:space="preserve">L’EBITDA normalizzato di Gruppo – </w:t>
      </w:r>
      <w:r>
        <w:rPr>
          <w:rFonts w:cs="Arial"/>
          <w:bCs/>
          <w:szCs w:val="20"/>
          <w:lang w:val="it-IT"/>
        </w:rPr>
        <w:t xml:space="preserve">includendo nel medesimo gli effetti connessi alla riconduzione dei saldi </w:t>
      </w:r>
      <w:r w:rsidRPr="00D33AB1">
        <w:rPr>
          <w:rFonts w:cs="Arial"/>
          <w:bCs/>
          <w:szCs w:val="20"/>
          <w:lang w:val="it-IT"/>
        </w:rPr>
        <w:t xml:space="preserve">della controllata </w:t>
      </w:r>
      <w:proofErr w:type="spellStart"/>
      <w:r w:rsidRPr="00D33AB1">
        <w:rPr>
          <w:rFonts w:cs="Arial"/>
          <w:bCs/>
          <w:szCs w:val="20"/>
          <w:lang w:val="it-IT"/>
        </w:rPr>
        <w:t>Biopower</w:t>
      </w:r>
      <w:proofErr w:type="spellEnd"/>
      <w:r w:rsidRPr="00D33AB1">
        <w:rPr>
          <w:rFonts w:cs="Arial"/>
          <w:bCs/>
          <w:szCs w:val="20"/>
          <w:lang w:val="it-IT"/>
        </w:rPr>
        <w:t xml:space="preserve"> Sardegna </w:t>
      </w:r>
      <w:proofErr w:type="spellStart"/>
      <w:r w:rsidRPr="00D33AB1">
        <w:rPr>
          <w:rFonts w:cs="Arial"/>
          <w:bCs/>
          <w:szCs w:val="20"/>
          <w:lang w:val="it-IT"/>
        </w:rPr>
        <w:t>Srl</w:t>
      </w:r>
      <w:proofErr w:type="spellEnd"/>
      <w:r w:rsidRPr="00D33AB1">
        <w:rPr>
          <w:rFonts w:cs="Arial"/>
          <w:bCs/>
          <w:szCs w:val="20"/>
          <w:lang w:val="it-IT"/>
        </w:rPr>
        <w:t xml:space="preserve"> </w:t>
      </w:r>
      <w:r>
        <w:rPr>
          <w:rFonts w:cs="Arial"/>
          <w:bCs/>
          <w:szCs w:val="20"/>
          <w:lang w:val="it-IT"/>
        </w:rPr>
        <w:t>nelle</w:t>
      </w:r>
      <w:r w:rsidRPr="00D33AB1">
        <w:rPr>
          <w:rFonts w:cs="Arial"/>
          <w:bCs/>
          <w:szCs w:val="20"/>
          <w:lang w:val="it-IT"/>
        </w:rPr>
        <w:t xml:space="preserve"> </w:t>
      </w:r>
      <w:proofErr w:type="spellStart"/>
      <w:r w:rsidRPr="00A87E88">
        <w:rPr>
          <w:rFonts w:cs="Arial"/>
          <w:bCs/>
          <w:i/>
          <w:iCs/>
          <w:szCs w:val="20"/>
          <w:lang w:val="it-IT"/>
        </w:rPr>
        <w:t>discontinuing</w:t>
      </w:r>
      <w:proofErr w:type="spellEnd"/>
      <w:r w:rsidRPr="00A87E88">
        <w:rPr>
          <w:rFonts w:cs="Arial"/>
          <w:bCs/>
          <w:i/>
          <w:iCs/>
          <w:szCs w:val="20"/>
          <w:lang w:val="it-IT"/>
        </w:rPr>
        <w:t xml:space="preserve"> </w:t>
      </w:r>
      <w:proofErr w:type="spellStart"/>
      <w:r w:rsidRPr="00A87E88">
        <w:rPr>
          <w:rFonts w:cs="Arial"/>
          <w:bCs/>
          <w:i/>
          <w:iCs/>
          <w:szCs w:val="20"/>
          <w:lang w:val="it-IT"/>
        </w:rPr>
        <w:t>operation</w:t>
      </w:r>
      <w:proofErr w:type="spellEnd"/>
      <w:r w:rsidRPr="00D33AB1">
        <w:rPr>
          <w:rFonts w:cs="Arial"/>
          <w:bCs/>
          <w:szCs w:val="20"/>
          <w:lang w:val="it-IT"/>
        </w:rPr>
        <w:t xml:space="preserve"> - è risultato </w:t>
      </w:r>
      <w:r w:rsidRPr="00981C1C">
        <w:rPr>
          <w:rFonts w:cs="Arial"/>
          <w:bCs/>
          <w:szCs w:val="20"/>
          <w:lang w:val="it-IT"/>
        </w:rPr>
        <w:t>pari a 327,6 milioni di euro</w:t>
      </w:r>
      <w:r w:rsidRPr="00D33AB1">
        <w:rPr>
          <w:rFonts w:cs="Arial"/>
          <w:bCs/>
          <w:szCs w:val="20"/>
          <w:lang w:val="it-IT"/>
        </w:rPr>
        <w:t xml:space="preserve"> contro i 272,0 milioni del 2022; il confronto tra i due anni non è tuttavia omogeneo, in quanto il dato del 2023 risente del cambio del perimetro di consolidamento.</w:t>
      </w:r>
    </w:p>
    <w:p w14:paraId="6CB59285" w14:textId="77777777" w:rsidR="007D16AB" w:rsidRPr="00D33AB1" w:rsidRDefault="007D16AB" w:rsidP="007D16AB">
      <w:pPr>
        <w:jc w:val="both"/>
        <w:rPr>
          <w:rFonts w:cs="Arial"/>
          <w:bCs/>
          <w:szCs w:val="20"/>
          <w:lang w:val="it-IT"/>
        </w:rPr>
      </w:pPr>
    </w:p>
    <w:p w14:paraId="0CC2E86A" w14:textId="77777777" w:rsidR="007D16AB" w:rsidRDefault="007D16AB" w:rsidP="007D16AB">
      <w:pPr>
        <w:jc w:val="both"/>
        <w:rPr>
          <w:rFonts w:cs="Arial"/>
          <w:bCs/>
          <w:szCs w:val="20"/>
          <w:lang w:val="it-IT"/>
        </w:rPr>
      </w:pPr>
      <w:r w:rsidRPr="00D33AB1">
        <w:rPr>
          <w:rFonts w:cs="Arial"/>
          <w:bCs/>
          <w:szCs w:val="20"/>
          <w:lang w:val="it-IT"/>
        </w:rPr>
        <w:t xml:space="preserve">Anche l’utile netto di Gruppo, </w:t>
      </w:r>
      <w:r w:rsidRPr="00981C1C">
        <w:rPr>
          <w:rFonts w:cs="Arial"/>
          <w:bCs/>
          <w:szCs w:val="20"/>
          <w:lang w:val="it-IT"/>
        </w:rPr>
        <w:t>pari a 84,2 milioni di euro</w:t>
      </w:r>
      <w:r w:rsidRPr="00D33AB1">
        <w:rPr>
          <w:rFonts w:cs="Arial"/>
          <w:bCs/>
          <w:szCs w:val="20"/>
          <w:lang w:val="it-IT"/>
        </w:rPr>
        <w:t>, è risultato in consistente aumento rispetto al valore del 2022</w:t>
      </w:r>
      <w:r>
        <w:rPr>
          <w:rFonts w:cs="Arial"/>
          <w:bCs/>
          <w:szCs w:val="20"/>
          <w:lang w:val="it-IT"/>
        </w:rPr>
        <w:t xml:space="preserve">, pari a 60,8 milioni di euro, pur scontando il bilancio 2023 di un importo di 18,0 milioni di euro a titolo di </w:t>
      </w:r>
      <w:r w:rsidRPr="00255CD5">
        <w:rPr>
          <w:rFonts w:cs="Arial"/>
          <w:bCs/>
          <w:szCs w:val="20"/>
          <w:lang w:val="it-IT"/>
        </w:rPr>
        <w:t>contributo di solidarietà straordinario disposto dalla legge finanziaria 2023</w:t>
      </w:r>
      <w:r>
        <w:rPr>
          <w:rFonts w:cs="Arial"/>
          <w:bCs/>
          <w:szCs w:val="20"/>
          <w:lang w:val="it-IT"/>
        </w:rPr>
        <w:t>,</w:t>
      </w:r>
      <w:r w:rsidRPr="00255CD5">
        <w:rPr>
          <w:rFonts w:cs="Arial"/>
          <w:bCs/>
          <w:szCs w:val="20"/>
          <w:lang w:val="it-IT"/>
        </w:rPr>
        <w:t xml:space="preserve"> </w:t>
      </w:r>
      <w:r>
        <w:rPr>
          <w:rFonts w:cs="Arial"/>
          <w:bCs/>
          <w:szCs w:val="20"/>
          <w:lang w:val="it-IT"/>
        </w:rPr>
        <w:t>in aggiunta a quello già stanziato nel precedente bilancio (6,5 milioni di euro).</w:t>
      </w:r>
    </w:p>
    <w:p w14:paraId="2C5AD3CB" w14:textId="77777777" w:rsidR="007D16AB" w:rsidRPr="00EE4F11" w:rsidRDefault="007D16AB" w:rsidP="007D16AB">
      <w:pPr>
        <w:jc w:val="both"/>
        <w:rPr>
          <w:rFonts w:cs="Arial"/>
          <w:bCs/>
          <w:szCs w:val="20"/>
          <w:lang w:val="it-IT"/>
        </w:rPr>
      </w:pPr>
    </w:p>
    <w:p w14:paraId="337BEFCF" w14:textId="77777777" w:rsidR="007D16AB" w:rsidRPr="00EE4F11" w:rsidRDefault="007D16AB" w:rsidP="007D16AB">
      <w:pPr>
        <w:jc w:val="both"/>
        <w:rPr>
          <w:rFonts w:cs="Arial"/>
          <w:bCs/>
          <w:szCs w:val="20"/>
          <w:lang w:val="it-IT"/>
        </w:rPr>
      </w:pPr>
    </w:p>
    <w:p w14:paraId="34ABA29B" w14:textId="77777777" w:rsidR="007D16AB" w:rsidRPr="007D12CA" w:rsidRDefault="007D16AB" w:rsidP="007D16AB">
      <w:pPr>
        <w:jc w:val="both"/>
        <w:rPr>
          <w:rFonts w:cs="Arial"/>
          <w:b/>
          <w:lang w:val="it-IT"/>
        </w:rPr>
      </w:pPr>
      <w:r w:rsidRPr="007D12CA">
        <w:rPr>
          <w:rFonts w:cs="Arial"/>
          <w:b/>
          <w:lang w:val="it-IT"/>
        </w:rPr>
        <w:lastRenderedPageBreak/>
        <w:t>Investimenti e indebitamento finanziario</w:t>
      </w:r>
    </w:p>
    <w:p w14:paraId="3789D5F2" w14:textId="77777777" w:rsidR="007D16AB" w:rsidRPr="00EE4F11" w:rsidRDefault="007D16AB" w:rsidP="007D16AB">
      <w:pPr>
        <w:jc w:val="both"/>
        <w:rPr>
          <w:rFonts w:cs="Arial"/>
          <w:b/>
          <w:bCs/>
          <w:szCs w:val="20"/>
          <w:lang w:val="it-IT"/>
        </w:rPr>
      </w:pPr>
    </w:p>
    <w:p w14:paraId="3DE18340" w14:textId="77777777" w:rsidR="007D16AB" w:rsidRPr="00D33AB1" w:rsidRDefault="007D16AB" w:rsidP="007D16AB">
      <w:pPr>
        <w:jc w:val="both"/>
        <w:rPr>
          <w:rFonts w:cs="Arial"/>
          <w:bCs/>
          <w:szCs w:val="20"/>
          <w:lang w:val="it-IT"/>
        </w:rPr>
      </w:pPr>
      <w:r w:rsidRPr="00D33AB1">
        <w:rPr>
          <w:rFonts w:cs="Arial"/>
          <w:bCs/>
          <w:szCs w:val="20"/>
          <w:lang w:val="it-IT"/>
        </w:rPr>
        <w:t>Gli investimenti relativi alla gestione ordinaria del Gruppo effettuati nel 202</w:t>
      </w:r>
      <w:r>
        <w:rPr>
          <w:rFonts w:cs="Arial"/>
          <w:bCs/>
          <w:szCs w:val="20"/>
          <w:lang w:val="it-IT"/>
        </w:rPr>
        <w:t>3</w:t>
      </w:r>
      <w:r w:rsidRPr="00D33AB1">
        <w:rPr>
          <w:rFonts w:cs="Arial"/>
          <w:bCs/>
          <w:szCs w:val="20"/>
          <w:lang w:val="it-IT"/>
        </w:rPr>
        <w:t xml:space="preserve"> sono stati pari a circa </w:t>
      </w:r>
      <w:r w:rsidRPr="00171B5B">
        <w:rPr>
          <w:rFonts w:cs="Arial"/>
          <w:bCs/>
          <w:szCs w:val="20"/>
          <w:lang w:val="it-IT"/>
        </w:rPr>
        <w:t>175 milioni di euro (nel 2022</w:t>
      </w:r>
      <w:r w:rsidRPr="00D33AB1">
        <w:rPr>
          <w:rFonts w:cs="Arial"/>
          <w:bCs/>
          <w:szCs w:val="20"/>
          <w:lang w:val="it-IT"/>
        </w:rPr>
        <w:t xml:space="preserve"> erano risultati pari a circa 1</w:t>
      </w:r>
      <w:r>
        <w:rPr>
          <w:rFonts w:cs="Arial"/>
          <w:bCs/>
          <w:szCs w:val="20"/>
          <w:lang w:val="it-IT"/>
        </w:rPr>
        <w:t>67</w:t>
      </w:r>
      <w:r w:rsidRPr="00D33AB1">
        <w:rPr>
          <w:rFonts w:cs="Arial"/>
          <w:bCs/>
          <w:szCs w:val="20"/>
          <w:lang w:val="it-IT"/>
        </w:rPr>
        <w:t xml:space="preserve"> milioni di euro), in particolare nella distribuzione di energia elettrica per rafforzare la qualità e la continuità del servizio e nella generazione per l’ammodernamento delle centrali idroelettriche.</w:t>
      </w:r>
    </w:p>
    <w:p w14:paraId="0F74FC07" w14:textId="77777777" w:rsidR="007D16AB" w:rsidRPr="00D33AB1" w:rsidRDefault="007D16AB" w:rsidP="007D16AB">
      <w:pPr>
        <w:jc w:val="both"/>
        <w:rPr>
          <w:rFonts w:cs="Arial"/>
          <w:bCs/>
          <w:szCs w:val="20"/>
          <w:lang w:val="it-IT"/>
        </w:rPr>
      </w:pPr>
    </w:p>
    <w:p w14:paraId="15F560DA" w14:textId="77777777" w:rsidR="007D16AB" w:rsidRDefault="007D16AB" w:rsidP="007D16AB">
      <w:pPr>
        <w:jc w:val="both"/>
        <w:rPr>
          <w:rFonts w:cs="Arial"/>
          <w:bCs/>
          <w:szCs w:val="20"/>
          <w:lang w:val="it-IT"/>
        </w:rPr>
      </w:pPr>
      <w:r w:rsidRPr="00D33AB1">
        <w:rPr>
          <w:rFonts w:cs="Arial"/>
          <w:bCs/>
          <w:szCs w:val="20"/>
          <w:lang w:val="it-IT"/>
        </w:rPr>
        <w:t xml:space="preserve">L’ indebitamento finanziario è sceso, a fine </w:t>
      </w:r>
      <w:r w:rsidRPr="00171B5B">
        <w:rPr>
          <w:rFonts w:cs="Arial"/>
          <w:bCs/>
          <w:szCs w:val="20"/>
          <w:lang w:val="it-IT"/>
        </w:rPr>
        <w:t>2023, a 1.007 milioni di</w:t>
      </w:r>
      <w:r w:rsidRPr="00D33AB1">
        <w:rPr>
          <w:rFonts w:cs="Arial"/>
          <w:bCs/>
          <w:szCs w:val="20"/>
          <w:lang w:val="it-IT"/>
        </w:rPr>
        <w:t xml:space="preserve"> euro </w:t>
      </w:r>
      <w:r>
        <w:rPr>
          <w:rFonts w:cs="Arial"/>
          <w:bCs/>
          <w:szCs w:val="20"/>
          <w:lang w:val="it-IT"/>
        </w:rPr>
        <w:t xml:space="preserve">contro </w:t>
      </w:r>
      <w:r w:rsidRPr="00D33AB1">
        <w:rPr>
          <w:rFonts w:cs="Arial"/>
          <w:bCs/>
          <w:szCs w:val="20"/>
          <w:lang w:val="it-IT"/>
        </w:rPr>
        <w:t>il dato di fine 2022</w:t>
      </w:r>
      <w:r>
        <w:rPr>
          <w:rFonts w:cs="Arial"/>
          <w:bCs/>
          <w:szCs w:val="20"/>
          <w:lang w:val="it-IT"/>
        </w:rPr>
        <w:t>,</w:t>
      </w:r>
      <w:r w:rsidRPr="00D33AB1">
        <w:rPr>
          <w:rFonts w:cs="Arial"/>
          <w:bCs/>
          <w:szCs w:val="20"/>
          <w:lang w:val="it-IT"/>
        </w:rPr>
        <w:t xml:space="preserve"> pari a 1.163 milioni di eur</w:t>
      </w:r>
      <w:r>
        <w:rPr>
          <w:rFonts w:cs="Arial"/>
          <w:bCs/>
          <w:szCs w:val="20"/>
          <w:lang w:val="it-IT"/>
        </w:rPr>
        <w:t xml:space="preserve">o (- 13%) </w:t>
      </w:r>
      <w:r w:rsidRPr="00121798">
        <w:rPr>
          <w:rFonts w:cs="Arial"/>
          <w:bCs/>
          <w:szCs w:val="20"/>
          <w:lang w:val="it-IT"/>
        </w:rPr>
        <w:t xml:space="preserve">principalmente per </w:t>
      </w:r>
      <w:r>
        <w:rPr>
          <w:rFonts w:cs="Arial"/>
          <w:bCs/>
          <w:szCs w:val="20"/>
          <w:lang w:val="it-IT"/>
        </w:rPr>
        <w:t>la</w:t>
      </w:r>
      <w:r w:rsidRPr="00121798">
        <w:rPr>
          <w:rFonts w:cs="Arial"/>
          <w:bCs/>
          <w:szCs w:val="20"/>
          <w:lang w:val="it-IT"/>
        </w:rPr>
        <w:t xml:space="preserve"> positiv</w:t>
      </w:r>
      <w:r>
        <w:rPr>
          <w:rFonts w:cs="Arial"/>
          <w:bCs/>
          <w:szCs w:val="20"/>
          <w:lang w:val="it-IT"/>
        </w:rPr>
        <w:t>a</w:t>
      </w:r>
      <w:r w:rsidRPr="00121798">
        <w:rPr>
          <w:rFonts w:cs="Arial"/>
          <w:bCs/>
          <w:szCs w:val="20"/>
          <w:lang w:val="it-IT"/>
        </w:rPr>
        <w:t xml:space="preserve"> </w:t>
      </w:r>
      <w:r w:rsidRPr="00D3188D">
        <w:rPr>
          <w:rFonts w:cs="Arial"/>
          <w:bCs/>
          <w:i/>
          <w:iCs/>
          <w:szCs w:val="20"/>
          <w:lang w:val="it-IT"/>
        </w:rPr>
        <w:t>performance</w:t>
      </w:r>
      <w:r w:rsidRPr="00121798">
        <w:rPr>
          <w:rFonts w:cs="Arial"/>
          <w:bCs/>
          <w:szCs w:val="20"/>
          <w:lang w:val="it-IT"/>
        </w:rPr>
        <w:t xml:space="preserve"> del capitale circolante netto determinat</w:t>
      </w:r>
      <w:r>
        <w:rPr>
          <w:rFonts w:cs="Arial"/>
          <w:bCs/>
          <w:szCs w:val="20"/>
          <w:lang w:val="it-IT"/>
        </w:rPr>
        <w:t>a,</w:t>
      </w:r>
      <w:r w:rsidRPr="00121798">
        <w:rPr>
          <w:rFonts w:cs="Arial"/>
          <w:bCs/>
          <w:szCs w:val="20"/>
          <w:lang w:val="it-IT"/>
        </w:rPr>
        <w:t xml:space="preserve"> </w:t>
      </w:r>
      <w:r>
        <w:rPr>
          <w:rFonts w:cs="Arial"/>
          <w:bCs/>
          <w:szCs w:val="20"/>
          <w:lang w:val="it-IT"/>
        </w:rPr>
        <w:t xml:space="preserve">in primis, </w:t>
      </w:r>
      <w:r w:rsidRPr="00121798">
        <w:rPr>
          <w:rFonts w:cs="Arial"/>
          <w:bCs/>
          <w:szCs w:val="20"/>
          <w:lang w:val="it-IT"/>
        </w:rPr>
        <w:t>dalla progressiva riduzione del prezzo delle commodity energetiche rispetto ai valori di fine 2022</w:t>
      </w:r>
      <w:r>
        <w:rPr>
          <w:rFonts w:cs="Arial"/>
          <w:bCs/>
          <w:szCs w:val="20"/>
          <w:lang w:val="it-IT"/>
        </w:rPr>
        <w:t>.</w:t>
      </w:r>
      <w:r w:rsidRPr="0065238F">
        <w:rPr>
          <w:rFonts w:cs="Arial"/>
          <w:bCs/>
          <w:szCs w:val="20"/>
          <w:lang w:val="it-IT"/>
        </w:rPr>
        <w:t xml:space="preserve">  </w:t>
      </w:r>
    </w:p>
    <w:p w14:paraId="0191498A" w14:textId="77777777" w:rsidR="007D16AB" w:rsidRDefault="007D16AB" w:rsidP="007D16AB">
      <w:pPr>
        <w:jc w:val="both"/>
        <w:rPr>
          <w:rFonts w:cs="Arial"/>
          <w:bCs/>
          <w:szCs w:val="20"/>
          <w:lang w:val="it-IT"/>
        </w:rPr>
      </w:pPr>
    </w:p>
    <w:p w14:paraId="3DBEEB68" w14:textId="77777777" w:rsidR="007D16AB" w:rsidRPr="00EE4F11" w:rsidRDefault="007D16AB" w:rsidP="007D16AB">
      <w:pPr>
        <w:jc w:val="both"/>
        <w:rPr>
          <w:rFonts w:cs="Arial"/>
          <w:bCs/>
          <w:szCs w:val="20"/>
          <w:lang w:val="it-IT"/>
        </w:rPr>
      </w:pPr>
    </w:p>
    <w:p w14:paraId="6059B811" w14:textId="77777777" w:rsidR="007D16AB" w:rsidRPr="007D12CA" w:rsidRDefault="007D16AB" w:rsidP="007D16AB">
      <w:pPr>
        <w:jc w:val="both"/>
        <w:rPr>
          <w:rFonts w:cs="Arial"/>
          <w:b/>
          <w:lang w:val="it-IT"/>
        </w:rPr>
      </w:pPr>
      <w:r w:rsidRPr="007D12CA">
        <w:rPr>
          <w:rFonts w:cs="Arial"/>
          <w:b/>
          <w:lang w:val="it-IT"/>
        </w:rPr>
        <w:t xml:space="preserve">Proposta di dividendi da parte del Consiglio di Gestione </w:t>
      </w:r>
    </w:p>
    <w:p w14:paraId="6CF74DD2" w14:textId="77777777" w:rsidR="007D16AB" w:rsidRPr="007D12CA" w:rsidRDefault="007D16AB" w:rsidP="007D16AB">
      <w:pPr>
        <w:jc w:val="both"/>
        <w:rPr>
          <w:rFonts w:cs="Arial"/>
          <w:b/>
          <w:lang w:val="it-IT"/>
        </w:rPr>
      </w:pPr>
    </w:p>
    <w:p w14:paraId="667175D6" w14:textId="77777777" w:rsidR="007D16AB" w:rsidRDefault="007D16AB" w:rsidP="007D16AB">
      <w:pPr>
        <w:pStyle w:val="Betreffzeile"/>
        <w:jc w:val="both"/>
        <w:rPr>
          <w:b w:val="0"/>
          <w:bCs/>
          <w:lang w:val="it-IT"/>
        </w:rPr>
      </w:pPr>
      <w:r w:rsidRPr="00BC3360">
        <w:rPr>
          <w:b w:val="0"/>
          <w:bCs/>
          <w:lang w:val="it-IT"/>
        </w:rPr>
        <w:t xml:space="preserve">Per quanto riguarda la capogruppo Alperia </w:t>
      </w:r>
      <w:proofErr w:type="spellStart"/>
      <w:r w:rsidRPr="00BC3360">
        <w:rPr>
          <w:b w:val="0"/>
          <w:bCs/>
          <w:lang w:val="it-IT"/>
        </w:rPr>
        <w:t>SpA</w:t>
      </w:r>
      <w:proofErr w:type="spellEnd"/>
      <w:r w:rsidRPr="00BC3360">
        <w:rPr>
          <w:b w:val="0"/>
          <w:bCs/>
          <w:lang w:val="it-IT"/>
        </w:rPr>
        <w:t>, a fronte di un utile netto pari a circa 3</w:t>
      </w:r>
      <w:r>
        <w:rPr>
          <w:b w:val="0"/>
          <w:bCs/>
          <w:lang w:val="it-IT"/>
        </w:rPr>
        <w:t>9,6</w:t>
      </w:r>
      <w:r w:rsidRPr="00BC3360">
        <w:rPr>
          <w:b w:val="0"/>
          <w:bCs/>
          <w:lang w:val="it-IT"/>
        </w:rPr>
        <w:t xml:space="preserve"> milioni di euro (nel 202</w:t>
      </w:r>
      <w:r>
        <w:rPr>
          <w:b w:val="0"/>
          <w:bCs/>
          <w:lang w:val="it-IT"/>
        </w:rPr>
        <w:t>2</w:t>
      </w:r>
      <w:r w:rsidRPr="00BC3360">
        <w:rPr>
          <w:b w:val="0"/>
          <w:bCs/>
          <w:lang w:val="it-IT"/>
        </w:rPr>
        <w:t xml:space="preserve"> il risultato era ammontato a circa 3</w:t>
      </w:r>
      <w:r>
        <w:rPr>
          <w:b w:val="0"/>
          <w:bCs/>
          <w:lang w:val="it-IT"/>
        </w:rPr>
        <w:t>4,2</w:t>
      </w:r>
      <w:r w:rsidRPr="00BC3360">
        <w:rPr>
          <w:b w:val="0"/>
          <w:bCs/>
          <w:lang w:val="it-IT"/>
        </w:rPr>
        <w:t xml:space="preserve"> milioni di euro), il Consiglio di Gestione ha proposto la distribuzione ai soci di 3</w:t>
      </w:r>
      <w:r>
        <w:rPr>
          <w:b w:val="0"/>
          <w:bCs/>
          <w:lang w:val="it-IT"/>
        </w:rPr>
        <w:t>4</w:t>
      </w:r>
      <w:r w:rsidRPr="00BC3360">
        <w:rPr>
          <w:b w:val="0"/>
          <w:bCs/>
          <w:lang w:val="it-IT"/>
        </w:rPr>
        <w:t>,0 milioni di euro a titolo di dividendi riferiti all’esercizio 202</w:t>
      </w:r>
      <w:r>
        <w:rPr>
          <w:b w:val="0"/>
          <w:bCs/>
          <w:lang w:val="it-IT"/>
        </w:rPr>
        <w:t>3</w:t>
      </w:r>
      <w:r w:rsidRPr="00BC3360">
        <w:rPr>
          <w:b w:val="0"/>
          <w:bCs/>
          <w:lang w:val="it-IT"/>
        </w:rPr>
        <w:t xml:space="preserve">, l’accantonamento di circa </w:t>
      </w:r>
      <w:r>
        <w:rPr>
          <w:b w:val="0"/>
          <w:bCs/>
          <w:lang w:val="it-IT"/>
        </w:rPr>
        <w:t>2,0</w:t>
      </w:r>
      <w:r w:rsidRPr="00BC3360">
        <w:rPr>
          <w:b w:val="0"/>
          <w:bCs/>
          <w:lang w:val="it-IT"/>
        </w:rPr>
        <w:t xml:space="preserve"> milioni di euro alla riserva legale (come previsto dalla vigente normativa) e il riporto a nuovo dei restanti </w:t>
      </w:r>
      <w:r>
        <w:rPr>
          <w:b w:val="0"/>
          <w:bCs/>
          <w:lang w:val="it-IT"/>
        </w:rPr>
        <w:t>3,6</w:t>
      </w:r>
      <w:r w:rsidRPr="00BC3360">
        <w:rPr>
          <w:b w:val="0"/>
          <w:bCs/>
          <w:lang w:val="it-IT"/>
        </w:rPr>
        <w:t xml:space="preserve"> milioni circa. </w:t>
      </w:r>
    </w:p>
    <w:p w14:paraId="29C27905" w14:textId="77777777" w:rsidR="007D16AB" w:rsidRDefault="007D16AB" w:rsidP="007D16AB">
      <w:pPr>
        <w:pStyle w:val="Betreffzeile"/>
        <w:jc w:val="both"/>
        <w:rPr>
          <w:b w:val="0"/>
          <w:bCs/>
          <w:lang w:val="it-IT"/>
        </w:rPr>
      </w:pPr>
    </w:p>
    <w:p w14:paraId="24A98C56" w14:textId="77777777" w:rsidR="007D16AB" w:rsidRDefault="007D16AB" w:rsidP="007D16AB">
      <w:pPr>
        <w:pStyle w:val="Betreffzeile"/>
        <w:jc w:val="both"/>
        <w:rPr>
          <w:b w:val="0"/>
          <w:bCs/>
          <w:lang w:val="it-IT"/>
        </w:rPr>
      </w:pPr>
    </w:p>
    <w:p w14:paraId="177978B7" w14:textId="77777777" w:rsidR="007D16AB" w:rsidRPr="00EE4F11" w:rsidRDefault="007D16AB" w:rsidP="007D16AB">
      <w:pPr>
        <w:jc w:val="both"/>
        <w:rPr>
          <w:rFonts w:cs="Arial"/>
          <w:bCs/>
          <w:szCs w:val="20"/>
          <w:lang w:val="it-IT"/>
        </w:rPr>
      </w:pPr>
    </w:p>
    <w:p w14:paraId="2A18C42C" w14:textId="77777777" w:rsidR="007D16AB" w:rsidRPr="00EE4F11" w:rsidRDefault="007D16AB" w:rsidP="007D16AB">
      <w:pPr>
        <w:pStyle w:val="Betreffzeile"/>
        <w:jc w:val="both"/>
        <w:rPr>
          <w:rFonts w:cs="Arial"/>
          <w:sz w:val="24"/>
          <w:szCs w:val="24"/>
          <w:lang w:val="it-IT"/>
        </w:rPr>
      </w:pPr>
      <w:r w:rsidRPr="00EE4F11">
        <w:rPr>
          <w:rFonts w:cs="Arial"/>
          <w:sz w:val="24"/>
          <w:szCs w:val="24"/>
          <w:lang w:val="it-IT"/>
        </w:rPr>
        <w:t xml:space="preserve">Dati rilevanti </w:t>
      </w:r>
      <w:r>
        <w:rPr>
          <w:rFonts w:cs="Arial"/>
          <w:sz w:val="24"/>
          <w:szCs w:val="24"/>
          <w:lang w:val="it-IT"/>
        </w:rPr>
        <w:t xml:space="preserve">del 2023 </w:t>
      </w:r>
      <w:r w:rsidRPr="00EE4F11">
        <w:rPr>
          <w:rFonts w:cs="Arial"/>
          <w:sz w:val="24"/>
          <w:szCs w:val="24"/>
          <w:lang w:val="it-IT"/>
        </w:rPr>
        <w:t>delle singole Business Unit</w:t>
      </w:r>
    </w:p>
    <w:p w14:paraId="132A8E99" w14:textId="77777777" w:rsidR="007D16AB" w:rsidRPr="00EE4F11" w:rsidRDefault="007D16AB" w:rsidP="007D16AB">
      <w:pPr>
        <w:jc w:val="both"/>
        <w:rPr>
          <w:rFonts w:cs="Arial"/>
          <w:b/>
          <w:bCs/>
          <w:szCs w:val="20"/>
          <w:lang w:val="it-IT"/>
        </w:rPr>
      </w:pPr>
    </w:p>
    <w:p w14:paraId="62AD496A" w14:textId="77777777" w:rsidR="007D16AB" w:rsidRPr="00EE4F11" w:rsidRDefault="007D16AB" w:rsidP="007D16AB">
      <w:pPr>
        <w:jc w:val="both"/>
        <w:rPr>
          <w:rFonts w:cs="Arial"/>
          <w:bCs/>
          <w:szCs w:val="20"/>
          <w:lang w:val="it-IT"/>
        </w:rPr>
      </w:pPr>
      <w:r w:rsidRPr="00EE4F11">
        <w:rPr>
          <w:rFonts w:cs="Arial"/>
          <w:b/>
          <w:bCs/>
          <w:szCs w:val="20"/>
          <w:lang w:val="it-IT"/>
        </w:rPr>
        <w:t>Business Unit Generazione</w:t>
      </w:r>
    </w:p>
    <w:p w14:paraId="2CE64C70" w14:textId="77777777" w:rsidR="007D16AB" w:rsidRDefault="007D16AB" w:rsidP="007D16AB">
      <w:pPr>
        <w:pStyle w:val="Listenabsatz"/>
        <w:numPr>
          <w:ilvl w:val="0"/>
          <w:numId w:val="8"/>
        </w:numPr>
        <w:jc w:val="both"/>
        <w:rPr>
          <w:rFonts w:ascii="Arial" w:hAnsi="Arial" w:cs="Arial"/>
          <w:bCs/>
          <w:sz w:val="20"/>
          <w:szCs w:val="20"/>
        </w:rPr>
      </w:pPr>
      <w:r w:rsidRPr="00EE4F11">
        <w:rPr>
          <w:rFonts w:ascii="Arial" w:hAnsi="Arial" w:cs="Arial"/>
          <w:bCs/>
          <w:sz w:val="20"/>
          <w:szCs w:val="20"/>
        </w:rPr>
        <w:t xml:space="preserve">Produzione di energia elettrica, concentrata </w:t>
      </w:r>
      <w:r>
        <w:rPr>
          <w:rFonts w:ascii="Arial" w:hAnsi="Arial" w:cs="Arial"/>
          <w:bCs/>
          <w:sz w:val="20"/>
          <w:szCs w:val="20"/>
        </w:rPr>
        <w:t>quasi esclusivamente</w:t>
      </w:r>
      <w:r w:rsidRPr="00EE4F11">
        <w:rPr>
          <w:rFonts w:ascii="Arial" w:hAnsi="Arial" w:cs="Arial"/>
          <w:bCs/>
          <w:sz w:val="20"/>
          <w:szCs w:val="20"/>
        </w:rPr>
        <w:t xml:space="preserve"> nella fonte idroelettrica sul territorio altoatesino, di </w:t>
      </w:r>
      <w:r>
        <w:rPr>
          <w:rFonts w:ascii="Arial" w:hAnsi="Arial" w:cs="Arial"/>
          <w:bCs/>
          <w:sz w:val="20"/>
          <w:szCs w:val="20"/>
        </w:rPr>
        <w:t>4,1 TWh</w:t>
      </w:r>
      <w:r w:rsidRPr="00EE4F11">
        <w:rPr>
          <w:rFonts w:ascii="Arial" w:hAnsi="Arial" w:cs="Arial"/>
          <w:bCs/>
          <w:sz w:val="20"/>
          <w:szCs w:val="20"/>
        </w:rPr>
        <w:t xml:space="preserve">, in </w:t>
      </w:r>
      <w:r>
        <w:rPr>
          <w:rFonts w:ascii="Arial" w:hAnsi="Arial" w:cs="Arial"/>
          <w:bCs/>
          <w:sz w:val="20"/>
          <w:szCs w:val="20"/>
        </w:rPr>
        <w:t>consistente aumento</w:t>
      </w:r>
      <w:r w:rsidRPr="00EE4F11">
        <w:rPr>
          <w:rFonts w:ascii="Arial" w:hAnsi="Arial" w:cs="Arial"/>
          <w:bCs/>
          <w:sz w:val="20"/>
          <w:szCs w:val="20"/>
        </w:rPr>
        <w:t xml:space="preserve"> rispetto al </w:t>
      </w:r>
      <w:r w:rsidRPr="00CB6E8A">
        <w:rPr>
          <w:rFonts w:ascii="Arial" w:hAnsi="Arial" w:cs="Arial"/>
          <w:bCs/>
          <w:sz w:val="20"/>
          <w:szCs w:val="20"/>
        </w:rPr>
        <w:t>202</w:t>
      </w:r>
      <w:r>
        <w:rPr>
          <w:rFonts w:ascii="Arial" w:hAnsi="Arial" w:cs="Arial"/>
          <w:bCs/>
          <w:sz w:val="20"/>
          <w:szCs w:val="20"/>
        </w:rPr>
        <w:t>2</w:t>
      </w:r>
      <w:r w:rsidRPr="00CB6E8A">
        <w:rPr>
          <w:rFonts w:ascii="Arial" w:hAnsi="Arial" w:cs="Arial"/>
          <w:bCs/>
          <w:sz w:val="20"/>
          <w:szCs w:val="20"/>
        </w:rPr>
        <w:t xml:space="preserve"> (</w:t>
      </w:r>
      <w:r>
        <w:rPr>
          <w:rFonts w:ascii="Arial" w:hAnsi="Arial" w:cs="Arial"/>
          <w:bCs/>
          <w:sz w:val="20"/>
          <w:szCs w:val="20"/>
        </w:rPr>
        <w:t>+</w:t>
      </w:r>
      <w:r w:rsidRPr="00CB6E8A">
        <w:rPr>
          <w:rFonts w:ascii="Arial" w:hAnsi="Arial" w:cs="Arial"/>
          <w:bCs/>
          <w:sz w:val="20"/>
          <w:szCs w:val="20"/>
        </w:rPr>
        <w:t xml:space="preserve"> </w:t>
      </w:r>
      <w:r>
        <w:rPr>
          <w:rFonts w:ascii="Arial" w:hAnsi="Arial" w:cs="Arial"/>
          <w:bCs/>
          <w:sz w:val="20"/>
          <w:szCs w:val="20"/>
        </w:rPr>
        <w:t>43</w:t>
      </w:r>
      <w:r w:rsidRPr="00CB6E8A">
        <w:rPr>
          <w:rFonts w:ascii="Arial" w:hAnsi="Arial" w:cs="Arial"/>
          <w:bCs/>
          <w:sz w:val="20"/>
          <w:szCs w:val="20"/>
        </w:rPr>
        <w:t xml:space="preserve">%) </w:t>
      </w:r>
    </w:p>
    <w:p w14:paraId="1A0F31DE" w14:textId="77777777" w:rsidR="007D16AB" w:rsidRPr="00CB6E8A" w:rsidRDefault="007D16AB" w:rsidP="007D16AB">
      <w:pPr>
        <w:pStyle w:val="Listenabsatz"/>
        <w:jc w:val="both"/>
        <w:rPr>
          <w:rFonts w:ascii="Arial" w:hAnsi="Arial" w:cs="Arial"/>
          <w:bCs/>
          <w:sz w:val="20"/>
          <w:szCs w:val="20"/>
        </w:rPr>
      </w:pPr>
    </w:p>
    <w:p w14:paraId="53F8C892" w14:textId="77777777" w:rsidR="007D16AB" w:rsidRPr="006549B9" w:rsidRDefault="007D16AB" w:rsidP="007D16AB">
      <w:pPr>
        <w:ind w:left="360"/>
        <w:jc w:val="both"/>
        <w:rPr>
          <w:rFonts w:cs="Arial"/>
          <w:bCs/>
          <w:szCs w:val="20"/>
          <w:lang w:val="it-IT"/>
        </w:rPr>
      </w:pPr>
    </w:p>
    <w:p w14:paraId="0A33685A" w14:textId="77777777" w:rsidR="007D16AB" w:rsidRPr="00B36365" w:rsidRDefault="007D16AB" w:rsidP="007D16AB">
      <w:pPr>
        <w:jc w:val="both"/>
        <w:rPr>
          <w:rFonts w:cs="Arial"/>
          <w:b/>
          <w:bCs/>
          <w:szCs w:val="20"/>
          <w:lang w:val="en-US"/>
        </w:rPr>
      </w:pPr>
      <w:r w:rsidRPr="00B36365">
        <w:rPr>
          <w:rFonts w:cs="Arial"/>
          <w:b/>
          <w:bCs/>
          <w:szCs w:val="20"/>
          <w:lang w:val="en-US"/>
        </w:rPr>
        <w:t xml:space="preserve">Business Unit </w:t>
      </w:r>
      <w:proofErr w:type="spellStart"/>
      <w:r w:rsidRPr="00B36365">
        <w:rPr>
          <w:rFonts w:cs="Arial"/>
          <w:b/>
          <w:bCs/>
          <w:szCs w:val="20"/>
          <w:lang w:val="en-US"/>
        </w:rPr>
        <w:t>Vendita</w:t>
      </w:r>
      <w:proofErr w:type="spellEnd"/>
      <w:r w:rsidRPr="00B36365">
        <w:rPr>
          <w:rFonts w:cs="Arial"/>
          <w:b/>
          <w:bCs/>
          <w:szCs w:val="20"/>
          <w:lang w:val="en-US"/>
        </w:rPr>
        <w:t xml:space="preserve"> e Business Unit Trading</w:t>
      </w:r>
    </w:p>
    <w:p w14:paraId="7136F9F7" w14:textId="77777777" w:rsidR="007D16AB" w:rsidRPr="00B36365" w:rsidRDefault="007D16AB" w:rsidP="007D16AB">
      <w:pPr>
        <w:pStyle w:val="Listenabsatz"/>
        <w:numPr>
          <w:ilvl w:val="0"/>
          <w:numId w:val="8"/>
        </w:numPr>
        <w:jc w:val="both"/>
        <w:rPr>
          <w:rFonts w:ascii="Arial" w:hAnsi="Arial" w:cs="Arial"/>
          <w:bCs/>
          <w:sz w:val="20"/>
          <w:szCs w:val="20"/>
        </w:rPr>
      </w:pPr>
      <w:r w:rsidRPr="00B36365">
        <w:rPr>
          <w:rFonts w:ascii="Arial" w:hAnsi="Arial" w:cs="Arial"/>
          <w:bCs/>
          <w:sz w:val="20"/>
          <w:szCs w:val="20"/>
        </w:rPr>
        <w:t xml:space="preserve">Quantità di energia elettrica venduta ai clienti pari a 4,8 TWh e volumi di gas ceduti ai clienti attestati a 358 milioni di metri cubi; i dati si presentano in forte calo rispetto al 2022 (- 30%), risultato di una razionalizzazione del portafoglio clienti previsto dal Piano industriale che vede il Gruppo concentrare la propria attività sui clienti domestici e sulle piccole e medie imprese </w:t>
      </w:r>
    </w:p>
    <w:p w14:paraId="65207E8D" w14:textId="77777777" w:rsidR="007D16AB" w:rsidRPr="00B36365" w:rsidRDefault="007D16AB" w:rsidP="007D16AB">
      <w:pPr>
        <w:pStyle w:val="Listenabsatz"/>
        <w:numPr>
          <w:ilvl w:val="0"/>
          <w:numId w:val="8"/>
        </w:numPr>
        <w:jc w:val="both"/>
        <w:rPr>
          <w:rFonts w:ascii="Arial" w:hAnsi="Arial" w:cs="Arial"/>
          <w:bCs/>
          <w:sz w:val="20"/>
          <w:szCs w:val="20"/>
        </w:rPr>
      </w:pPr>
      <w:r w:rsidRPr="00B36365">
        <w:rPr>
          <w:rFonts w:ascii="Arial" w:hAnsi="Arial" w:cs="Arial"/>
          <w:bCs/>
          <w:sz w:val="20"/>
          <w:szCs w:val="20"/>
        </w:rPr>
        <w:t xml:space="preserve">Il numero dei punti di fornitura </w:t>
      </w:r>
      <w:r>
        <w:rPr>
          <w:rFonts w:ascii="Arial" w:hAnsi="Arial" w:cs="Arial"/>
          <w:bCs/>
          <w:sz w:val="20"/>
          <w:szCs w:val="20"/>
        </w:rPr>
        <w:t xml:space="preserve">alla fine del 2023 si è attestato </w:t>
      </w:r>
      <w:r w:rsidRPr="00B36365">
        <w:rPr>
          <w:rFonts w:ascii="Arial" w:hAnsi="Arial" w:cs="Arial"/>
          <w:bCs/>
          <w:sz w:val="20"/>
          <w:szCs w:val="20"/>
        </w:rPr>
        <w:t xml:space="preserve">a </w:t>
      </w:r>
      <w:r>
        <w:rPr>
          <w:rFonts w:ascii="Arial" w:hAnsi="Arial" w:cs="Arial"/>
          <w:bCs/>
          <w:sz w:val="20"/>
          <w:szCs w:val="20"/>
        </w:rPr>
        <w:t>circa 423</w:t>
      </w:r>
      <w:r w:rsidRPr="00B36365">
        <w:rPr>
          <w:rFonts w:ascii="Arial" w:hAnsi="Arial" w:cs="Arial"/>
          <w:bCs/>
          <w:sz w:val="20"/>
          <w:szCs w:val="20"/>
        </w:rPr>
        <w:t xml:space="preserve"> mila, suddiviso tra mercato elettrico (3</w:t>
      </w:r>
      <w:r>
        <w:rPr>
          <w:rFonts w:ascii="Arial" w:hAnsi="Arial" w:cs="Arial"/>
          <w:bCs/>
          <w:sz w:val="20"/>
          <w:szCs w:val="20"/>
        </w:rPr>
        <w:t>38</w:t>
      </w:r>
      <w:r w:rsidRPr="00B36365">
        <w:rPr>
          <w:rFonts w:ascii="Arial" w:hAnsi="Arial" w:cs="Arial"/>
          <w:bCs/>
          <w:sz w:val="20"/>
          <w:szCs w:val="20"/>
        </w:rPr>
        <w:t xml:space="preserve"> mila)</w:t>
      </w:r>
      <w:r>
        <w:rPr>
          <w:rFonts w:ascii="Arial" w:hAnsi="Arial" w:cs="Arial"/>
          <w:bCs/>
          <w:sz w:val="20"/>
          <w:szCs w:val="20"/>
        </w:rPr>
        <w:t xml:space="preserve">, </w:t>
      </w:r>
      <w:r w:rsidRPr="00B36365">
        <w:rPr>
          <w:rFonts w:ascii="Arial" w:hAnsi="Arial" w:cs="Arial"/>
          <w:bCs/>
          <w:sz w:val="20"/>
          <w:szCs w:val="20"/>
        </w:rPr>
        <w:t>mercato gas (</w:t>
      </w:r>
      <w:r>
        <w:rPr>
          <w:rFonts w:ascii="Arial" w:hAnsi="Arial" w:cs="Arial"/>
          <w:bCs/>
          <w:sz w:val="20"/>
          <w:szCs w:val="20"/>
        </w:rPr>
        <w:t>83</w:t>
      </w:r>
      <w:r w:rsidRPr="00B36365">
        <w:rPr>
          <w:rFonts w:ascii="Arial" w:hAnsi="Arial" w:cs="Arial"/>
          <w:bCs/>
          <w:sz w:val="20"/>
          <w:szCs w:val="20"/>
        </w:rPr>
        <w:t xml:space="preserve"> mila)</w:t>
      </w:r>
      <w:r>
        <w:rPr>
          <w:rFonts w:ascii="Arial" w:hAnsi="Arial" w:cs="Arial"/>
          <w:bCs/>
          <w:sz w:val="20"/>
          <w:szCs w:val="20"/>
        </w:rPr>
        <w:t xml:space="preserve"> e calore (</w:t>
      </w:r>
      <w:r w:rsidRPr="00B36365">
        <w:rPr>
          <w:rFonts w:ascii="Arial" w:hAnsi="Arial" w:cs="Arial"/>
          <w:bCs/>
          <w:sz w:val="20"/>
          <w:szCs w:val="20"/>
        </w:rPr>
        <w:t>2</w:t>
      </w:r>
      <w:r>
        <w:rPr>
          <w:rFonts w:ascii="Arial" w:hAnsi="Arial" w:cs="Arial"/>
          <w:bCs/>
          <w:sz w:val="20"/>
          <w:szCs w:val="20"/>
        </w:rPr>
        <w:t xml:space="preserve"> mila)</w:t>
      </w:r>
    </w:p>
    <w:p w14:paraId="2AA3D0F3" w14:textId="77777777" w:rsidR="007D16AB" w:rsidRPr="00B36365" w:rsidRDefault="007D16AB" w:rsidP="007D16AB">
      <w:pPr>
        <w:pStyle w:val="Listenabsatz"/>
        <w:numPr>
          <w:ilvl w:val="0"/>
          <w:numId w:val="8"/>
        </w:numPr>
        <w:jc w:val="both"/>
        <w:rPr>
          <w:rFonts w:ascii="Arial" w:hAnsi="Arial" w:cs="Arial"/>
          <w:bCs/>
          <w:sz w:val="20"/>
          <w:szCs w:val="20"/>
        </w:rPr>
      </w:pPr>
      <w:r w:rsidRPr="00B36365">
        <w:rPr>
          <w:rFonts w:ascii="Arial" w:hAnsi="Arial" w:cs="Arial"/>
          <w:bCs/>
          <w:sz w:val="20"/>
          <w:szCs w:val="20"/>
        </w:rPr>
        <w:t>Vendita all’ingrosso di energia elettrica pari a 0,5 TWh, in notevole riduzione rispetto al 2022 (- 52%)</w:t>
      </w:r>
    </w:p>
    <w:p w14:paraId="6993B911" w14:textId="77777777" w:rsidR="007D16AB" w:rsidRPr="00B36365" w:rsidRDefault="007D16AB" w:rsidP="007D16AB">
      <w:pPr>
        <w:ind w:left="360"/>
        <w:jc w:val="both"/>
        <w:rPr>
          <w:rFonts w:cs="Arial"/>
          <w:bCs/>
          <w:szCs w:val="20"/>
          <w:lang w:val="it-IT"/>
        </w:rPr>
      </w:pPr>
    </w:p>
    <w:p w14:paraId="632FA341" w14:textId="77777777" w:rsidR="007D16AB" w:rsidRPr="00B36365" w:rsidRDefault="007D16AB" w:rsidP="007D16AB">
      <w:pPr>
        <w:jc w:val="both"/>
        <w:rPr>
          <w:rFonts w:cs="Arial"/>
          <w:bCs/>
          <w:szCs w:val="20"/>
          <w:lang w:val="it-IT"/>
        </w:rPr>
      </w:pPr>
      <w:r w:rsidRPr="00B36365">
        <w:rPr>
          <w:rFonts w:cs="Arial"/>
          <w:b/>
          <w:bCs/>
          <w:szCs w:val="20"/>
          <w:lang w:val="it-IT"/>
        </w:rPr>
        <w:t>Business Unit Reti</w:t>
      </w:r>
      <w:r w:rsidRPr="00B36365">
        <w:rPr>
          <w:rFonts w:cs="Arial"/>
          <w:bCs/>
          <w:szCs w:val="20"/>
          <w:lang w:val="it-IT"/>
        </w:rPr>
        <w:t xml:space="preserve"> </w:t>
      </w:r>
    </w:p>
    <w:p w14:paraId="3596EBE6" w14:textId="77777777" w:rsidR="007D16AB" w:rsidRPr="00B36365" w:rsidRDefault="007D16AB" w:rsidP="007D16AB">
      <w:pPr>
        <w:pStyle w:val="Listenabsatz"/>
        <w:numPr>
          <w:ilvl w:val="0"/>
          <w:numId w:val="7"/>
        </w:numPr>
        <w:autoSpaceDE w:val="0"/>
        <w:autoSpaceDN w:val="0"/>
        <w:adjustRightInd w:val="0"/>
        <w:spacing w:line="240" w:lineRule="auto"/>
        <w:jc w:val="both"/>
        <w:rPr>
          <w:rFonts w:ascii="Arial" w:hAnsi="Arial" w:cs="Arial"/>
          <w:sz w:val="20"/>
          <w:szCs w:val="20"/>
        </w:rPr>
      </w:pPr>
      <w:bookmarkStart w:id="1" w:name="_Hlk162365810"/>
      <w:r w:rsidRPr="00B36365">
        <w:rPr>
          <w:rFonts w:ascii="Arial" w:hAnsi="Arial" w:cs="Arial"/>
          <w:sz w:val="20"/>
          <w:szCs w:val="20"/>
        </w:rPr>
        <w:t>Energia elettrica distribuita sul territorio altoatesino pari a 2,6 TWh a circa 241 mila punti di prelievo</w:t>
      </w:r>
    </w:p>
    <w:p w14:paraId="79E4B6FC" w14:textId="77777777" w:rsidR="007D16AB" w:rsidRPr="00B36365" w:rsidRDefault="007D16AB" w:rsidP="007D16AB">
      <w:pPr>
        <w:pStyle w:val="Listenabsatz"/>
        <w:numPr>
          <w:ilvl w:val="0"/>
          <w:numId w:val="7"/>
        </w:numPr>
        <w:autoSpaceDE w:val="0"/>
        <w:autoSpaceDN w:val="0"/>
        <w:adjustRightInd w:val="0"/>
        <w:spacing w:line="240" w:lineRule="auto"/>
        <w:jc w:val="both"/>
        <w:rPr>
          <w:rFonts w:ascii="Arial" w:hAnsi="Arial" w:cs="Arial"/>
          <w:sz w:val="20"/>
          <w:szCs w:val="20"/>
        </w:rPr>
      </w:pPr>
      <w:r w:rsidRPr="00B36365">
        <w:rPr>
          <w:rFonts w:ascii="Arial" w:hAnsi="Arial" w:cs="Arial"/>
          <w:sz w:val="20"/>
          <w:szCs w:val="20"/>
        </w:rPr>
        <w:t>Estensione della rete elettrica pari a 9.348 km con i relativi impianti e infrastrutture</w:t>
      </w:r>
    </w:p>
    <w:p w14:paraId="564CD8FB" w14:textId="77777777" w:rsidR="007D16AB" w:rsidRPr="00B36365" w:rsidRDefault="007D16AB" w:rsidP="007D16AB">
      <w:pPr>
        <w:pStyle w:val="Listenabsatz"/>
        <w:numPr>
          <w:ilvl w:val="0"/>
          <w:numId w:val="7"/>
        </w:numPr>
        <w:autoSpaceDE w:val="0"/>
        <w:autoSpaceDN w:val="0"/>
        <w:adjustRightInd w:val="0"/>
        <w:spacing w:line="240" w:lineRule="auto"/>
        <w:jc w:val="both"/>
        <w:rPr>
          <w:rFonts w:cs="Arial"/>
          <w:szCs w:val="20"/>
        </w:rPr>
      </w:pPr>
      <w:r w:rsidRPr="00B36365">
        <w:rPr>
          <w:rFonts w:ascii="Arial" w:hAnsi="Arial" w:cs="Arial"/>
          <w:sz w:val="20"/>
          <w:szCs w:val="20"/>
        </w:rPr>
        <w:t>Interramento delle linee elettriche pari al 77%, volto a ridurre al minimo l’impatto ambientale e paesaggistico</w:t>
      </w:r>
    </w:p>
    <w:p w14:paraId="5D2D03B4" w14:textId="77777777" w:rsidR="007D16AB" w:rsidRPr="00B36365" w:rsidRDefault="007D16AB" w:rsidP="007D16AB">
      <w:pPr>
        <w:pStyle w:val="Listenabsatz"/>
        <w:numPr>
          <w:ilvl w:val="0"/>
          <w:numId w:val="7"/>
        </w:numPr>
        <w:autoSpaceDE w:val="0"/>
        <w:autoSpaceDN w:val="0"/>
        <w:adjustRightInd w:val="0"/>
        <w:spacing w:line="240" w:lineRule="auto"/>
        <w:jc w:val="both"/>
        <w:rPr>
          <w:rFonts w:cs="Arial"/>
          <w:szCs w:val="20"/>
        </w:rPr>
      </w:pPr>
      <w:r w:rsidRPr="00B36365">
        <w:rPr>
          <w:rFonts w:ascii="Arial" w:hAnsi="Arial" w:cs="Arial"/>
          <w:sz w:val="20"/>
          <w:szCs w:val="20"/>
        </w:rPr>
        <w:t xml:space="preserve">Prosegue il piano di messa in servizio del sistema di </w:t>
      </w:r>
      <w:r w:rsidRPr="00B36365">
        <w:rPr>
          <w:rFonts w:ascii="Arial" w:hAnsi="Arial" w:cs="Arial"/>
          <w:i/>
          <w:iCs/>
          <w:sz w:val="20"/>
          <w:szCs w:val="20"/>
        </w:rPr>
        <w:t xml:space="preserve">smart </w:t>
      </w:r>
      <w:proofErr w:type="spellStart"/>
      <w:r w:rsidRPr="00B36365">
        <w:rPr>
          <w:rFonts w:ascii="Arial" w:hAnsi="Arial" w:cs="Arial"/>
          <w:i/>
          <w:iCs/>
          <w:sz w:val="20"/>
          <w:szCs w:val="20"/>
        </w:rPr>
        <w:t>metering</w:t>
      </w:r>
      <w:proofErr w:type="spellEnd"/>
      <w:r w:rsidRPr="00B36365">
        <w:rPr>
          <w:rFonts w:ascii="Arial" w:hAnsi="Arial" w:cs="Arial"/>
          <w:sz w:val="20"/>
          <w:szCs w:val="20"/>
        </w:rPr>
        <w:t xml:space="preserve"> 2G predisposto da </w:t>
      </w:r>
      <w:proofErr w:type="spellStart"/>
      <w:r w:rsidRPr="00B36365">
        <w:rPr>
          <w:rFonts w:ascii="Arial" w:hAnsi="Arial" w:cs="Arial"/>
          <w:sz w:val="20"/>
          <w:szCs w:val="20"/>
        </w:rPr>
        <w:t>Edyna</w:t>
      </w:r>
      <w:proofErr w:type="spellEnd"/>
      <w:r w:rsidRPr="00B36365">
        <w:rPr>
          <w:rFonts w:ascii="Arial" w:hAnsi="Arial" w:cs="Arial"/>
          <w:sz w:val="20"/>
          <w:szCs w:val="20"/>
        </w:rPr>
        <w:t xml:space="preserve"> </w:t>
      </w:r>
      <w:proofErr w:type="spellStart"/>
      <w:r w:rsidRPr="00B36365">
        <w:rPr>
          <w:rFonts w:ascii="Arial" w:hAnsi="Arial" w:cs="Arial"/>
          <w:sz w:val="20"/>
          <w:szCs w:val="20"/>
        </w:rPr>
        <w:t>Srl</w:t>
      </w:r>
      <w:proofErr w:type="spellEnd"/>
      <w:r w:rsidRPr="00B36365">
        <w:rPr>
          <w:rFonts w:ascii="Arial" w:hAnsi="Arial" w:cs="Arial"/>
          <w:sz w:val="20"/>
          <w:szCs w:val="20"/>
        </w:rPr>
        <w:t xml:space="preserve">, ormai completato per il 77% del piano programmato che terminerà il 31 dicembre 2024: nel corso del 2023 sono stati installati ulteriori 68 mila contatori 2G, la maggior parte nei comuni di Bolzano, Merano, Laives e in altri 17 Comuni dell’Alto Adige </w:t>
      </w:r>
    </w:p>
    <w:bookmarkEnd w:id="1"/>
    <w:p w14:paraId="22F3E729" w14:textId="77777777" w:rsidR="007D16AB" w:rsidRPr="00870305" w:rsidRDefault="007D16AB" w:rsidP="007D16AB">
      <w:pPr>
        <w:autoSpaceDE w:val="0"/>
        <w:autoSpaceDN w:val="0"/>
        <w:adjustRightInd w:val="0"/>
        <w:spacing w:line="240" w:lineRule="auto"/>
        <w:jc w:val="both"/>
        <w:rPr>
          <w:rFonts w:cs="Arial"/>
          <w:szCs w:val="20"/>
          <w:lang w:val="it-IT"/>
        </w:rPr>
      </w:pPr>
    </w:p>
    <w:p w14:paraId="01F7D069" w14:textId="77777777" w:rsidR="007D16AB" w:rsidRPr="008B7D5D" w:rsidRDefault="007D16AB" w:rsidP="007D16AB">
      <w:pPr>
        <w:autoSpaceDE w:val="0"/>
        <w:autoSpaceDN w:val="0"/>
        <w:adjustRightInd w:val="0"/>
        <w:spacing w:line="240" w:lineRule="auto"/>
        <w:ind w:left="360"/>
        <w:jc w:val="both"/>
        <w:rPr>
          <w:rFonts w:cs="Arial"/>
          <w:szCs w:val="20"/>
          <w:lang w:val="it-IT"/>
        </w:rPr>
      </w:pPr>
    </w:p>
    <w:p w14:paraId="1B030EAF" w14:textId="77777777" w:rsidR="007D16AB" w:rsidRPr="00EE4F11" w:rsidRDefault="007D16AB" w:rsidP="007D16AB">
      <w:pPr>
        <w:autoSpaceDE w:val="0"/>
        <w:autoSpaceDN w:val="0"/>
        <w:adjustRightInd w:val="0"/>
        <w:jc w:val="both"/>
        <w:rPr>
          <w:rFonts w:cs="Arial"/>
          <w:bCs/>
          <w:szCs w:val="20"/>
          <w:lang w:val="it-IT"/>
        </w:rPr>
      </w:pPr>
      <w:r w:rsidRPr="00EE4F11">
        <w:rPr>
          <w:rFonts w:cs="Arial"/>
          <w:b/>
          <w:bCs/>
          <w:szCs w:val="20"/>
          <w:lang w:val="it-IT"/>
        </w:rPr>
        <w:t>Business Unit Calore e Servizi</w:t>
      </w:r>
    </w:p>
    <w:p w14:paraId="5F570E71" w14:textId="77777777" w:rsidR="007D16AB" w:rsidRPr="00770FD5" w:rsidRDefault="007D16AB" w:rsidP="007D16AB">
      <w:pPr>
        <w:pStyle w:val="Listenabsatz"/>
        <w:numPr>
          <w:ilvl w:val="0"/>
          <w:numId w:val="7"/>
        </w:numPr>
        <w:autoSpaceDE w:val="0"/>
        <w:autoSpaceDN w:val="0"/>
        <w:adjustRightInd w:val="0"/>
        <w:jc w:val="both"/>
        <w:rPr>
          <w:rFonts w:ascii="Arial" w:hAnsi="Arial" w:cs="Arial"/>
          <w:bCs/>
          <w:sz w:val="20"/>
          <w:szCs w:val="20"/>
        </w:rPr>
      </w:pPr>
      <w:r w:rsidRPr="00770FD5">
        <w:rPr>
          <w:rFonts w:ascii="Arial" w:hAnsi="Arial" w:cs="Arial"/>
          <w:bCs/>
          <w:sz w:val="20"/>
          <w:szCs w:val="20"/>
        </w:rPr>
        <w:t>Produzione di energia elettrica da cogenerazione e da biomassa in leggero calo da 32</w:t>
      </w:r>
      <w:r>
        <w:rPr>
          <w:rFonts w:ascii="Arial" w:hAnsi="Arial" w:cs="Arial"/>
          <w:bCs/>
          <w:sz w:val="20"/>
          <w:szCs w:val="20"/>
        </w:rPr>
        <w:t>2</w:t>
      </w:r>
      <w:r w:rsidRPr="00770FD5">
        <w:rPr>
          <w:rFonts w:ascii="Arial" w:hAnsi="Arial" w:cs="Arial"/>
          <w:bCs/>
          <w:sz w:val="20"/>
          <w:szCs w:val="20"/>
        </w:rPr>
        <w:t xml:space="preserve"> GWh (dato 202</w:t>
      </w:r>
      <w:r>
        <w:rPr>
          <w:rFonts w:ascii="Arial" w:hAnsi="Arial" w:cs="Arial"/>
          <w:bCs/>
          <w:sz w:val="20"/>
          <w:szCs w:val="20"/>
        </w:rPr>
        <w:t>2</w:t>
      </w:r>
      <w:r w:rsidRPr="00770FD5">
        <w:rPr>
          <w:rFonts w:ascii="Arial" w:hAnsi="Arial" w:cs="Arial"/>
          <w:bCs/>
          <w:sz w:val="20"/>
          <w:szCs w:val="20"/>
        </w:rPr>
        <w:t xml:space="preserve">) a </w:t>
      </w:r>
      <w:r>
        <w:rPr>
          <w:rFonts w:ascii="Arial" w:hAnsi="Arial" w:cs="Arial"/>
          <w:bCs/>
          <w:sz w:val="20"/>
          <w:szCs w:val="20"/>
        </w:rPr>
        <w:t>291</w:t>
      </w:r>
      <w:r w:rsidRPr="00770FD5">
        <w:rPr>
          <w:rFonts w:ascii="Arial" w:hAnsi="Arial" w:cs="Arial"/>
          <w:bCs/>
          <w:sz w:val="20"/>
          <w:szCs w:val="20"/>
        </w:rPr>
        <w:t xml:space="preserve"> GWh (dato 202</w:t>
      </w:r>
      <w:r>
        <w:rPr>
          <w:rFonts w:ascii="Arial" w:hAnsi="Arial" w:cs="Arial"/>
          <w:bCs/>
          <w:sz w:val="20"/>
          <w:szCs w:val="20"/>
        </w:rPr>
        <w:t>3</w:t>
      </w:r>
      <w:r w:rsidRPr="00770FD5">
        <w:rPr>
          <w:rFonts w:ascii="Arial" w:hAnsi="Arial" w:cs="Arial"/>
          <w:bCs/>
          <w:sz w:val="20"/>
          <w:szCs w:val="20"/>
        </w:rPr>
        <w:t>)</w:t>
      </w:r>
    </w:p>
    <w:p w14:paraId="29D1DEBE" w14:textId="77777777" w:rsidR="007D16AB" w:rsidRPr="00203202" w:rsidRDefault="007D16AB" w:rsidP="007D16AB">
      <w:pPr>
        <w:pStyle w:val="Listenabsatz"/>
        <w:numPr>
          <w:ilvl w:val="0"/>
          <w:numId w:val="7"/>
        </w:numPr>
        <w:autoSpaceDE w:val="0"/>
        <w:autoSpaceDN w:val="0"/>
        <w:adjustRightInd w:val="0"/>
        <w:jc w:val="both"/>
        <w:rPr>
          <w:rFonts w:cs="Arial"/>
          <w:bCs/>
          <w:szCs w:val="20"/>
        </w:rPr>
      </w:pPr>
      <w:r w:rsidRPr="00EE4F11">
        <w:rPr>
          <w:rFonts w:ascii="Arial" w:hAnsi="Arial" w:cs="Arial"/>
          <w:bCs/>
          <w:sz w:val="20"/>
          <w:szCs w:val="20"/>
        </w:rPr>
        <w:t xml:space="preserve">Produzione di energia </w:t>
      </w:r>
      <w:r w:rsidRPr="00203202">
        <w:rPr>
          <w:rFonts w:ascii="Arial" w:hAnsi="Arial" w:cs="Arial"/>
          <w:bCs/>
          <w:sz w:val="20"/>
          <w:szCs w:val="20"/>
        </w:rPr>
        <w:t xml:space="preserve">termica pari a </w:t>
      </w:r>
      <w:r>
        <w:rPr>
          <w:rFonts w:ascii="Arial" w:hAnsi="Arial" w:cs="Arial"/>
          <w:bCs/>
          <w:sz w:val="20"/>
          <w:szCs w:val="20"/>
        </w:rPr>
        <w:t>248</w:t>
      </w:r>
      <w:r w:rsidRPr="00203202">
        <w:rPr>
          <w:rFonts w:ascii="Arial" w:hAnsi="Arial" w:cs="Arial"/>
          <w:bCs/>
          <w:sz w:val="20"/>
          <w:szCs w:val="20"/>
        </w:rPr>
        <w:t xml:space="preserve"> </w:t>
      </w:r>
      <w:proofErr w:type="spellStart"/>
      <w:r w:rsidRPr="00203202">
        <w:rPr>
          <w:rFonts w:ascii="Arial" w:hAnsi="Arial" w:cs="Arial"/>
          <w:bCs/>
          <w:sz w:val="20"/>
          <w:szCs w:val="20"/>
        </w:rPr>
        <w:t>GWht</w:t>
      </w:r>
      <w:proofErr w:type="spellEnd"/>
      <w:r w:rsidRPr="00203202">
        <w:rPr>
          <w:rFonts w:ascii="Arial" w:hAnsi="Arial" w:cs="Arial"/>
          <w:bCs/>
          <w:sz w:val="20"/>
          <w:szCs w:val="20"/>
        </w:rPr>
        <w:t>, in legger</w:t>
      </w:r>
      <w:r>
        <w:rPr>
          <w:rFonts w:ascii="Arial" w:hAnsi="Arial" w:cs="Arial"/>
          <w:bCs/>
          <w:sz w:val="20"/>
          <w:szCs w:val="20"/>
        </w:rPr>
        <w:t>o</w:t>
      </w:r>
      <w:r w:rsidRPr="00203202">
        <w:rPr>
          <w:rFonts w:ascii="Arial" w:hAnsi="Arial" w:cs="Arial"/>
          <w:bCs/>
          <w:sz w:val="20"/>
          <w:szCs w:val="20"/>
        </w:rPr>
        <w:t xml:space="preserve"> </w:t>
      </w:r>
      <w:r>
        <w:rPr>
          <w:rFonts w:ascii="Arial" w:hAnsi="Arial" w:cs="Arial"/>
          <w:bCs/>
          <w:sz w:val="20"/>
          <w:szCs w:val="20"/>
        </w:rPr>
        <w:t>aumento</w:t>
      </w:r>
      <w:r w:rsidRPr="00203202">
        <w:rPr>
          <w:rFonts w:ascii="Arial" w:hAnsi="Arial" w:cs="Arial"/>
          <w:bCs/>
          <w:sz w:val="20"/>
          <w:szCs w:val="20"/>
        </w:rPr>
        <w:t xml:space="preserve"> rispetto al 202</w:t>
      </w:r>
      <w:r>
        <w:rPr>
          <w:rFonts w:ascii="Arial" w:hAnsi="Arial" w:cs="Arial"/>
          <w:bCs/>
          <w:sz w:val="20"/>
          <w:szCs w:val="20"/>
        </w:rPr>
        <w:t>2</w:t>
      </w:r>
      <w:r w:rsidRPr="00203202">
        <w:rPr>
          <w:rFonts w:ascii="Arial" w:hAnsi="Arial" w:cs="Arial"/>
          <w:bCs/>
          <w:sz w:val="20"/>
          <w:szCs w:val="20"/>
        </w:rPr>
        <w:t xml:space="preserve"> (</w:t>
      </w:r>
      <w:r>
        <w:rPr>
          <w:rFonts w:ascii="Arial" w:hAnsi="Arial" w:cs="Arial"/>
          <w:bCs/>
          <w:sz w:val="20"/>
          <w:szCs w:val="20"/>
        </w:rPr>
        <w:t>+</w:t>
      </w:r>
      <w:r w:rsidRPr="00203202">
        <w:rPr>
          <w:rFonts w:ascii="Arial" w:hAnsi="Arial" w:cs="Arial"/>
          <w:bCs/>
          <w:sz w:val="20"/>
          <w:szCs w:val="20"/>
        </w:rPr>
        <w:t xml:space="preserve"> 6%)</w:t>
      </w:r>
      <w:r>
        <w:rPr>
          <w:rFonts w:ascii="Arial" w:hAnsi="Arial" w:cs="Arial"/>
          <w:bCs/>
          <w:sz w:val="20"/>
          <w:szCs w:val="20"/>
        </w:rPr>
        <w:t xml:space="preserve"> grazie anche al continuo ampliamento della rete di teleriscaldamento nei comuni in cui opera il Gruppo</w:t>
      </w:r>
    </w:p>
    <w:p w14:paraId="735AE2C1" w14:textId="77777777" w:rsidR="007D16AB" w:rsidRDefault="007D16AB" w:rsidP="007D16AB">
      <w:pPr>
        <w:autoSpaceDE w:val="0"/>
        <w:autoSpaceDN w:val="0"/>
        <w:adjustRightInd w:val="0"/>
        <w:jc w:val="both"/>
        <w:rPr>
          <w:rFonts w:cs="Arial"/>
          <w:b/>
          <w:bCs/>
          <w:szCs w:val="20"/>
          <w:lang w:val="it-IT"/>
        </w:rPr>
      </w:pPr>
    </w:p>
    <w:p w14:paraId="00BA0E1D" w14:textId="77777777" w:rsidR="007D16AB" w:rsidRPr="00EE4F11" w:rsidRDefault="007D16AB" w:rsidP="007D16AB">
      <w:pPr>
        <w:autoSpaceDE w:val="0"/>
        <w:autoSpaceDN w:val="0"/>
        <w:adjustRightInd w:val="0"/>
        <w:jc w:val="both"/>
        <w:rPr>
          <w:rFonts w:cs="Arial"/>
          <w:bCs/>
          <w:szCs w:val="20"/>
          <w:lang w:val="it-IT"/>
        </w:rPr>
      </w:pPr>
      <w:r w:rsidRPr="00EE4F11">
        <w:rPr>
          <w:rFonts w:cs="Arial"/>
          <w:b/>
          <w:bCs/>
          <w:szCs w:val="20"/>
          <w:lang w:val="it-IT"/>
        </w:rPr>
        <w:t xml:space="preserve">Business Unit </w:t>
      </w:r>
      <w:r w:rsidRPr="00EE4F11">
        <w:rPr>
          <w:rFonts w:cs="Arial"/>
          <w:b/>
          <w:bCs/>
          <w:i/>
          <w:szCs w:val="20"/>
          <w:lang w:val="it-IT"/>
        </w:rPr>
        <w:t xml:space="preserve">Smart </w:t>
      </w:r>
      <w:proofErr w:type="spellStart"/>
      <w:r w:rsidRPr="00EE4F11">
        <w:rPr>
          <w:rFonts w:cs="Arial"/>
          <w:b/>
          <w:bCs/>
          <w:i/>
          <w:szCs w:val="20"/>
          <w:lang w:val="it-IT"/>
        </w:rPr>
        <w:t>Region</w:t>
      </w:r>
      <w:proofErr w:type="spellEnd"/>
      <w:r w:rsidRPr="00EE4F11">
        <w:rPr>
          <w:rFonts w:cs="Arial"/>
          <w:bCs/>
          <w:szCs w:val="20"/>
          <w:lang w:val="it-IT"/>
        </w:rPr>
        <w:t xml:space="preserve"> </w:t>
      </w:r>
    </w:p>
    <w:p w14:paraId="7CBC15B8" w14:textId="77777777" w:rsidR="007D16AB" w:rsidRPr="00FD60B1" w:rsidRDefault="007D16AB" w:rsidP="007D16AB">
      <w:pPr>
        <w:pStyle w:val="Listenabsatz"/>
        <w:numPr>
          <w:ilvl w:val="0"/>
          <w:numId w:val="7"/>
        </w:numPr>
        <w:autoSpaceDE w:val="0"/>
        <w:autoSpaceDN w:val="0"/>
        <w:adjustRightInd w:val="0"/>
        <w:jc w:val="both"/>
        <w:rPr>
          <w:rFonts w:ascii="Arial" w:hAnsi="Arial" w:cs="Arial"/>
          <w:bCs/>
          <w:sz w:val="20"/>
          <w:szCs w:val="20"/>
        </w:rPr>
      </w:pPr>
      <w:r w:rsidRPr="00785DDD">
        <w:rPr>
          <w:rFonts w:ascii="Arial" w:hAnsi="Arial" w:cs="Arial"/>
          <w:bCs/>
          <w:sz w:val="20"/>
          <w:szCs w:val="20"/>
        </w:rPr>
        <w:t xml:space="preserve">L’attività svolta nel corso dell’anno in esame da Alperia Green Future </w:t>
      </w:r>
      <w:proofErr w:type="spellStart"/>
      <w:r w:rsidRPr="00785DDD">
        <w:rPr>
          <w:rFonts w:ascii="Arial" w:hAnsi="Arial" w:cs="Arial"/>
          <w:bCs/>
          <w:sz w:val="20"/>
          <w:szCs w:val="20"/>
        </w:rPr>
        <w:t>Srl</w:t>
      </w:r>
      <w:proofErr w:type="spellEnd"/>
      <w:r w:rsidRPr="00785DDD">
        <w:rPr>
          <w:rFonts w:ascii="Arial" w:hAnsi="Arial" w:cs="Arial"/>
          <w:bCs/>
          <w:sz w:val="20"/>
          <w:szCs w:val="20"/>
        </w:rPr>
        <w:t xml:space="preserve"> si è suddivisa su diversi segmenti caratteristici del modello di business della società con alcuni punti di attenzione legati al comple</w:t>
      </w:r>
      <w:r>
        <w:rPr>
          <w:rFonts w:ascii="Arial" w:hAnsi="Arial" w:cs="Arial"/>
          <w:bCs/>
          <w:sz w:val="20"/>
          <w:szCs w:val="20"/>
        </w:rPr>
        <w:t>ta</w:t>
      </w:r>
      <w:r w:rsidRPr="00785DDD">
        <w:rPr>
          <w:rFonts w:ascii="Arial" w:hAnsi="Arial" w:cs="Arial"/>
          <w:bCs/>
          <w:sz w:val="20"/>
          <w:szCs w:val="20"/>
        </w:rPr>
        <w:t>mento di tutte le attività di riqualificazione energetica collegate al bonus 110% sia su condomini che su villette che, secondo quanto previsto dalla legge, dovevano terminare entro il 31 dicembre 2023</w:t>
      </w:r>
    </w:p>
    <w:p w14:paraId="569A33F9" w14:textId="77777777" w:rsidR="007D16AB" w:rsidRPr="008B3548" w:rsidRDefault="007D16AB" w:rsidP="007D16AB">
      <w:pPr>
        <w:autoSpaceDE w:val="0"/>
        <w:autoSpaceDN w:val="0"/>
        <w:adjustRightInd w:val="0"/>
        <w:jc w:val="both"/>
        <w:rPr>
          <w:rFonts w:cs="Arial"/>
          <w:b/>
          <w:bCs/>
          <w:szCs w:val="20"/>
          <w:lang w:val="it-IT"/>
        </w:rPr>
      </w:pPr>
    </w:p>
    <w:p w14:paraId="74C8ADB2" w14:textId="77777777" w:rsidR="007D16AB" w:rsidRPr="00EE4F11" w:rsidRDefault="007D16AB" w:rsidP="007D16AB">
      <w:pPr>
        <w:autoSpaceDE w:val="0"/>
        <w:autoSpaceDN w:val="0"/>
        <w:adjustRightInd w:val="0"/>
        <w:jc w:val="both"/>
        <w:rPr>
          <w:rFonts w:cs="Arial"/>
          <w:b/>
          <w:bCs/>
          <w:szCs w:val="20"/>
        </w:rPr>
      </w:pPr>
      <w:proofErr w:type="spellStart"/>
      <w:r w:rsidRPr="00EE4F11">
        <w:rPr>
          <w:rFonts w:cs="Arial"/>
          <w:b/>
          <w:bCs/>
          <w:szCs w:val="20"/>
        </w:rPr>
        <w:t>Gruppo</w:t>
      </w:r>
      <w:proofErr w:type="spellEnd"/>
    </w:p>
    <w:p w14:paraId="51BC887D" w14:textId="77777777" w:rsidR="007D16AB" w:rsidRPr="003B70DB" w:rsidRDefault="007D16AB" w:rsidP="007D16AB">
      <w:pPr>
        <w:pStyle w:val="Listenabsatz"/>
        <w:numPr>
          <w:ilvl w:val="0"/>
          <w:numId w:val="7"/>
        </w:numPr>
        <w:autoSpaceDE w:val="0"/>
        <w:autoSpaceDN w:val="0"/>
        <w:adjustRightInd w:val="0"/>
        <w:jc w:val="both"/>
        <w:rPr>
          <w:rFonts w:cs="Arial"/>
          <w:b/>
          <w:szCs w:val="20"/>
        </w:rPr>
      </w:pPr>
      <w:r w:rsidRPr="003B70DB">
        <w:rPr>
          <w:rFonts w:ascii="Arial" w:hAnsi="Arial" w:cs="Arial"/>
          <w:bCs/>
          <w:sz w:val="20"/>
          <w:szCs w:val="20"/>
        </w:rPr>
        <w:t xml:space="preserve">Il Consiglio di Gestione e il Consiglio di Sorveglianza di Alperia Spa hanno approvato – in data, rispettivamente, 29 novembre 2023 e 11 dicembre 2023 – l’aggiornamento del Piano industriale 2023 – 2027 del Gruppo. Con l’aggiornamento del Piano sono state confermate le linee guida strategiche dell’originario Piano: sostenibilità, consolidamento e innovazione. Sul tema della sostenibilità, rimane prioritario l’abbattimento delle emissioni, la creazione di valore sul territorio e la costruzione di una governance integrata.  Con le iniziative di consolidamento Alperia intende rafforzare il </w:t>
      </w:r>
      <w:r w:rsidRPr="003B70DB">
        <w:rPr>
          <w:rFonts w:ascii="Arial" w:hAnsi="Arial" w:cs="Arial"/>
          <w:bCs/>
          <w:i/>
          <w:iCs/>
          <w:sz w:val="20"/>
          <w:szCs w:val="20"/>
        </w:rPr>
        <w:t>business</w:t>
      </w:r>
      <w:r w:rsidRPr="003B70DB">
        <w:rPr>
          <w:rFonts w:ascii="Arial" w:hAnsi="Arial" w:cs="Arial"/>
          <w:bCs/>
          <w:sz w:val="20"/>
          <w:szCs w:val="20"/>
        </w:rPr>
        <w:t xml:space="preserve"> in Alto Adige e in tutti i territori attualmente serviti consolidando anche l’esposizione finanziaria. In quest’ottica rientra anche il consolidamento del portafoglio prodotti e dei servizi offerti.  In tema di innovazione Alperia intende trasformare i suoi business in coerenza con la transizione energetica. Rimane fondamentale, a tal proposito, trasformare la </w:t>
      </w:r>
      <w:proofErr w:type="spellStart"/>
      <w:r w:rsidRPr="003B70DB">
        <w:rPr>
          <w:rFonts w:ascii="Arial" w:hAnsi="Arial" w:cs="Arial"/>
          <w:bCs/>
          <w:i/>
          <w:iCs/>
          <w:sz w:val="20"/>
          <w:szCs w:val="20"/>
        </w:rPr>
        <w:t>value</w:t>
      </w:r>
      <w:proofErr w:type="spellEnd"/>
      <w:r w:rsidRPr="003B70DB">
        <w:rPr>
          <w:rFonts w:ascii="Arial" w:hAnsi="Arial" w:cs="Arial"/>
          <w:bCs/>
          <w:i/>
          <w:iCs/>
          <w:sz w:val="20"/>
          <w:szCs w:val="20"/>
        </w:rPr>
        <w:t xml:space="preserve"> </w:t>
      </w:r>
      <w:proofErr w:type="spellStart"/>
      <w:r w:rsidRPr="003B70DB">
        <w:rPr>
          <w:rFonts w:ascii="Arial" w:hAnsi="Arial" w:cs="Arial"/>
          <w:bCs/>
          <w:i/>
          <w:iCs/>
          <w:sz w:val="20"/>
          <w:szCs w:val="20"/>
        </w:rPr>
        <w:t>proposition</w:t>
      </w:r>
      <w:proofErr w:type="spellEnd"/>
      <w:r w:rsidRPr="003B70DB">
        <w:rPr>
          <w:rFonts w:ascii="Arial" w:hAnsi="Arial" w:cs="Arial"/>
          <w:bCs/>
          <w:sz w:val="20"/>
          <w:szCs w:val="20"/>
        </w:rPr>
        <w:t xml:space="preserve"> sulla vendita della commodity e dei servizi in chiave sostenibilità e </w:t>
      </w:r>
      <w:r w:rsidRPr="003B70DB">
        <w:rPr>
          <w:rFonts w:ascii="Arial" w:hAnsi="Arial" w:cs="Arial"/>
          <w:bCs/>
          <w:i/>
          <w:iCs/>
          <w:sz w:val="20"/>
          <w:szCs w:val="20"/>
        </w:rPr>
        <w:t xml:space="preserve">customer </w:t>
      </w:r>
      <w:proofErr w:type="spellStart"/>
      <w:r w:rsidRPr="003B70DB">
        <w:rPr>
          <w:rFonts w:ascii="Arial" w:hAnsi="Arial" w:cs="Arial"/>
          <w:bCs/>
          <w:i/>
          <w:iCs/>
          <w:sz w:val="20"/>
          <w:szCs w:val="20"/>
        </w:rPr>
        <w:t>centricity</w:t>
      </w:r>
      <w:proofErr w:type="spellEnd"/>
      <w:r w:rsidRPr="003B70DB">
        <w:rPr>
          <w:rFonts w:ascii="Arial" w:hAnsi="Arial" w:cs="Arial"/>
          <w:bCs/>
          <w:i/>
          <w:iCs/>
          <w:sz w:val="20"/>
          <w:szCs w:val="20"/>
        </w:rPr>
        <w:t>.</w:t>
      </w:r>
      <w:r w:rsidRPr="003B70DB">
        <w:rPr>
          <w:rFonts w:ascii="Arial" w:hAnsi="Arial" w:cs="Arial"/>
          <w:bCs/>
          <w:sz w:val="20"/>
          <w:szCs w:val="20"/>
        </w:rPr>
        <w:t xml:space="preserve"> </w:t>
      </w:r>
    </w:p>
    <w:p w14:paraId="48CD02F2" w14:textId="77777777" w:rsidR="007D16AB" w:rsidRPr="003B70DB" w:rsidRDefault="007D16AB" w:rsidP="007D16AB">
      <w:pPr>
        <w:pStyle w:val="Listenabsatz"/>
        <w:autoSpaceDE w:val="0"/>
        <w:autoSpaceDN w:val="0"/>
        <w:adjustRightInd w:val="0"/>
        <w:jc w:val="both"/>
        <w:rPr>
          <w:rFonts w:cs="Arial"/>
          <w:b/>
          <w:szCs w:val="20"/>
        </w:rPr>
      </w:pPr>
    </w:p>
    <w:p w14:paraId="7BF6C817" w14:textId="77777777" w:rsidR="007D16AB" w:rsidRPr="00EE4F11" w:rsidRDefault="007D16AB" w:rsidP="007D16AB">
      <w:pPr>
        <w:autoSpaceDE w:val="0"/>
        <w:autoSpaceDN w:val="0"/>
        <w:adjustRightInd w:val="0"/>
        <w:spacing w:line="240" w:lineRule="auto"/>
        <w:jc w:val="both"/>
        <w:rPr>
          <w:rFonts w:cs="Arial"/>
          <w:i/>
          <w:iCs/>
          <w:szCs w:val="20"/>
          <w:lang w:val="it-IT"/>
        </w:rPr>
      </w:pPr>
      <w:r w:rsidRPr="00EE4F11">
        <w:rPr>
          <w:rFonts w:cs="Arial"/>
          <w:bCs/>
          <w:szCs w:val="20"/>
          <w:lang w:val="it-IT"/>
        </w:rPr>
        <w:t xml:space="preserve">Il </w:t>
      </w:r>
      <w:r w:rsidRPr="00EE4F11">
        <w:rPr>
          <w:rFonts w:cs="Arial"/>
          <w:b/>
          <w:bCs/>
          <w:szCs w:val="20"/>
          <w:lang w:val="it-IT"/>
        </w:rPr>
        <w:t xml:space="preserve">Direttore Generale </w:t>
      </w:r>
      <w:r>
        <w:rPr>
          <w:rFonts w:cs="Arial"/>
          <w:b/>
          <w:bCs/>
          <w:szCs w:val="20"/>
          <w:lang w:val="it-IT"/>
        </w:rPr>
        <w:t xml:space="preserve">Luis </w:t>
      </w:r>
      <w:proofErr w:type="spellStart"/>
      <w:r>
        <w:rPr>
          <w:rFonts w:cs="Arial"/>
          <w:b/>
          <w:bCs/>
          <w:szCs w:val="20"/>
          <w:lang w:val="it-IT"/>
        </w:rPr>
        <w:t>Amort</w:t>
      </w:r>
      <w:proofErr w:type="spellEnd"/>
      <w:r w:rsidRPr="00EE4F11">
        <w:rPr>
          <w:rFonts w:cs="Arial"/>
          <w:b/>
          <w:bCs/>
          <w:szCs w:val="20"/>
          <w:lang w:val="it-IT"/>
        </w:rPr>
        <w:t xml:space="preserve"> </w:t>
      </w:r>
      <w:r w:rsidRPr="00EE4F11">
        <w:rPr>
          <w:rFonts w:cs="Arial"/>
          <w:szCs w:val="20"/>
          <w:lang w:val="it-IT"/>
        </w:rPr>
        <w:t>ha così commentato i risultati del Gruppo Alperia</w:t>
      </w:r>
      <w:r w:rsidRPr="00EE4F11">
        <w:rPr>
          <w:rFonts w:cs="Arial"/>
          <w:i/>
          <w:iCs/>
          <w:szCs w:val="20"/>
          <w:lang w:val="it-IT"/>
        </w:rPr>
        <w:t>:</w:t>
      </w:r>
    </w:p>
    <w:p w14:paraId="456713D0" w14:textId="77777777" w:rsidR="007D16AB" w:rsidRPr="00EE4F11" w:rsidRDefault="007D16AB" w:rsidP="007D16AB">
      <w:pPr>
        <w:autoSpaceDE w:val="0"/>
        <w:autoSpaceDN w:val="0"/>
        <w:adjustRightInd w:val="0"/>
        <w:spacing w:line="240" w:lineRule="auto"/>
        <w:jc w:val="both"/>
        <w:rPr>
          <w:rFonts w:cs="Arial"/>
          <w:i/>
          <w:iCs/>
          <w:szCs w:val="20"/>
          <w:lang w:val="it-IT"/>
        </w:rPr>
      </w:pPr>
    </w:p>
    <w:p w14:paraId="1E6FFD56" w14:textId="77777777" w:rsidR="007D16AB" w:rsidRDefault="007D16AB" w:rsidP="007D16AB">
      <w:pPr>
        <w:autoSpaceDE w:val="0"/>
        <w:autoSpaceDN w:val="0"/>
        <w:adjustRightInd w:val="0"/>
        <w:spacing w:line="240" w:lineRule="auto"/>
        <w:jc w:val="both"/>
        <w:rPr>
          <w:rFonts w:cs="Arial"/>
          <w:i/>
          <w:szCs w:val="20"/>
          <w:lang w:val="it-IT"/>
        </w:rPr>
      </w:pPr>
      <w:r w:rsidRPr="00EE4F11">
        <w:rPr>
          <w:rFonts w:cs="Arial"/>
          <w:i/>
          <w:iCs/>
          <w:szCs w:val="20"/>
          <w:lang w:val="it-IT"/>
        </w:rPr>
        <w:t>“</w:t>
      </w:r>
      <w:r>
        <w:rPr>
          <w:rFonts w:cs="Arial"/>
          <w:i/>
          <w:iCs/>
          <w:szCs w:val="20"/>
          <w:lang w:val="it-IT"/>
        </w:rPr>
        <w:t xml:space="preserve">Nonostante un </w:t>
      </w:r>
      <w:r w:rsidRPr="00722162">
        <w:rPr>
          <w:rFonts w:cs="Arial"/>
          <w:i/>
          <w:iCs/>
          <w:szCs w:val="20"/>
          <w:lang w:val="it-IT"/>
        </w:rPr>
        <w:t xml:space="preserve">quadro geopolitico e </w:t>
      </w:r>
      <w:r>
        <w:rPr>
          <w:rFonts w:cs="Arial"/>
          <w:i/>
          <w:iCs/>
          <w:szCs w:val="20"/>
          <w:lang w:val="it-IT"/>
        </w:rPr>
        <w:t>un</w:t>
      </w:r>
      <w:r w:rsidRPr="00722162">
        <w:rPr>
          <w:rFonts w:cs="Arial"/>
          <w:i/>
          <w:iCs/>
          <w:szCs w:val="20"/>
          <w:lang w:val="it-IT"/>
        </w:rPr>
        <w:t xml:space="preserve"> contesto di mercato altamente instabil</w:t>
      </w:r>
      <w:r>
        <w:rPr>
          <w:rFonts w:cs="Arial"/>
          <w:i/>
          <w:iCs/>
          <w:szCs w:val="20"/>
          <w:lang w:val="it-IT"/>
        </w:rPr>
        <w:t xml:space="preserve">i, </w:t>
      </w:r>
      <w:r w:rsidRPr="00EE4F11">
        <w:rPr>
          <w:rFonts w:cs="Arial"/>
          <w:i/>
          <w:iCs/>
          <w:szCs w:val="20"/>
          <w:lang w:val="it-IT"/>
        </w:rPr>
        <w:t xml:space="preserve">il Gruppo ha fatto registrare </w:t>
      </w:r>
      <w:r>
        <w:rPr>
          <w:rFonts w:cs="Arial"/>
          <w:i/>
          <w:iCs/>
          <w:szCs w:val="20"/>
          <w:lang w:val="it-IT"/>
        </w:rPr>
        <w:t xml:space="preserve">nel 2023 </w:t>
      </w:r>
      <w:r w:rsidRPr="00EE4F11">
        <w:rPr>
          <w:rFonts w:cs="Arial"/>
          <w:i/>
          <w:iCs/>
          <w:szCs w:val="20"/>
          <w:lang w:val="it-IT"/>
        </w:rPr>
        <w:t xml:space="preserve">risultati </w:t>
      </w:r>
      <w:r>
        <w:rPr>
          <w:rFonts w:cs="Arial"/>
          <w:i/>
          <w:iCs/>
          <w:szCs w:val="20"/>
          <w:lang w:val="it-IT"/>
        </w:rPr>
        <w:t>molto positivi</w:t>
      </w:r>
      <w:r w:rsidRPr="00EE4F11">
        <w:rPr>
          <w:rFonts w:cs="Arial"/>
          <w:i/>
          <w:iCs/>
          <w:szCs w:val="20"/>
          <w:lang w:val="it-IT"/>
        </w:rPr>
        <w:t>, a conferma della</w:t>
      </w:r>
      <w:r w:rsidRPr="00EE4F11">
        <w:rPr>
          <w:rFonts w:cs="Arial"/>
          <w:i/>
          <w:szCs w:val="20"/>
          <w:lang w:val="it-IT"/>
        </w:rPr>
        <w:t xml:space="preserve"> solidità gestionale e industriale raggiunta in questi anni e delle </w:t>
      </w:r>
      <w:r>
        <w:rPr>
          <w:rFonts w:cs="Arial"/>
          <w:i/>
          <w:szCs w:val="20"/>
          <w:lang w:val="it-IT"/>
        </w:rPr>
        <w:t xml:space="preserve">relative </w:t>
      </w:r>
      <w:r w:rsidRPr="00EE4F11">
        <w:rPr>
          <w:rFonts w:cs="Arial"/>
          <w:i/>
          <w:szCs w:val="20"/>
          <w:lang w:val="it-IT"/>
        </w:rPr>
        <w:t>azioni adottate.</w:t>
      </w:r>
      <w:r>
        <w:rPr>
          <w:rFonts w:cs="Arial"/>
          <w:i/>
          <w:szCs w:val="20"/>
          <w:lang w:val="it-IT"/>
        </w:rPr>
        <w:t xml:space="preserve"> Da un punto di vista finanziario, si rammenta l’importante operazione rappresentata dall’emissione</w:t>
      </w:r>
      <w:r w:rsidRPr="00EB0327">
        <w:rPr>
          <w:rFonts w:cs="Arial"/>
          <w:i/>
          <w:szCs w:val="20"/>
          <w:lang w:val="it-IT"/>
        </w:rPr>
        <w:t xml:space="preserve"> </w:t>
      </w:r>
      <w:r>
        <w:rPr>
          <w:rFonts w:cs="Arial"/>
          <w:i/>
          <w:szCs w:val="20"/>
          <w:lang w:val="it-IT"/>
        </w:rPr>
        <w:t>del</w:t>
      </w:r>
      <w:r w:rsidRPr="00EB0327">
        <w:rPr>
          <w:rFonts w:cs="Arial"/>
          <w:i/>
          <w:szCs w:val="20"/>
          <w:lang w:val="it-IT"/>
        </w:rPr>
        <w:t xml:space="preserve"> primo green bond pubblico </w:t>
      </w:r>
      <w:r>
        <w:rPr>
          <w:rFonts w:cs="Arial"/>
          <w:i/>
          <w:szCs w:val="20"/>
          <w:lang w:val="it-IT"/>
        </w:rPr>
        <w:t xml:space="preserve">quotato di Alperia avvenuta ad inizio luglio 2023 </w:t>
      </w:r>
      <w:r w:rsidRPr="00EB0327">
        <w:rPr>
          <w:rFonts w:cs="Arial"/>
          <w:i/>
          <w:szCs w:val="20"/>
          <w:lang w:val="it-IT"/>
        </w:rPr>
        <w:t>per un importo pari a</w:t>
      </w:r>
      <w:r>
        <w:rPr>
          <w:rFonts w:cs="Arial"/>
          <w:i/>
          <w:szCs w:val="20"/>
          <w:lang w:val="it-IT"/>
        </w:rPr>
        <w:t xml:space="preserve"> </w:t>
      </w:r>
      <w:r w:rsidRPr="00EB0327">
        <w:rPr>
          <w:rFonts w:cs="Arial"/>
          <w:i/>
          <w:szCs w:val="20"/>
          <w:lang w:val="it-IT"/>
        </w:rPr>
        <w:t>500 milion</w:t>
      </w:r>
      <w:r>
        <w:rPr>
          <w:rFonts w:cs="Arial"/>
          <w:i/>
          <w:szCs w:val="20"/>
          <w:lang w:val="it-IT"/>
        </w:rPr>
        <w:t>i di euro</w:t>
      </w:r>
      <w:r w:rsidRPr="00EB0327">
        <w:rPr>
          <w:rFonts w:cs="Arial"/>
          <w:i/>
          <w:szCs w:val="20"/>
          <w:lang w:val="it-IT"/>
        </w:rPr>
        <w:t>, confermando la strategia di sostenibilità del Gruppo volta alla decarbonizzazione.</w:t>
      </w:r>
      <w:r>
        <w:rPr>
          <w:rFonts w:cs="Arial"/>
          <w:i/>
          <w:szCs w:val="20"/>
          <w:lang w:val="it-IT"/>
        </w:rPr>
        <w:t xml:space="preserve"> Circa quest’ultima, si ricorda che Alperia ha ricevuto nel 2023 importanti riconoscimenti, quali (i) </w:t>
      </w:r>
      <w:r w:rsidRPr="00F10A72">
        <w:rPr>
          <w:rFonts w:cs="Arial"/>
          <w:i/>
          <w:szCs w:val="20"/>
          <w:lang w:val="it-IT"/>
        </w:rPr>
        <w:t xml:space="preserve">la </w:t>
      </w:r>
      <w:r>
        <w:rPr>
          <w:rFonts w:cs="Arial"/>
          <w:i/>
          <w:szCs w:val="20"/>
          <w:lang w:val="it-IT"/>
        </w:rPr>
        <w:t xml:space="preserve">sua </w:t>
      </w:r>
      <w:r w:rsidRPr="00F10A72">
        <w:rPr>
          <w:rFonts w:cs="Arial"/>
          <w:i/>
          <w:szCs w:val="20"/>
          <w:lang w:val="it-IT"/>
        </w:rPr>
        <w:t>presenza</w:t>
      </w:r>
      <w:r>
        <w:rPr>
          <w:rFonts w:cs="Arial"/>
          <w:i/>
          <w:szCs w:val="20"/>
          <w:lang w:val="it-IT"/>
        </w:rPr>
        <w:t>,</w:t>
      </w:r>
      <w:r w:rsidRPr="00F10A72">
        <w:rPr>
          <w:rFonts w:cs="Arial"/>
          <w:i/>
          <w:szCs w:val="20"/>
          <w:lang w:val="it-IT"/>
        </w:rPr>
        <w:t xml:space="preserve"> </w:t>
      </w:r>
      <w:r>
        <w:rPr>
          <w:rFonts w:cs="Arial"/>
          <w:i/>
          <w:szCs w:val="20"/>
          <w:lang w:val="it-IT"/>
        </w:rPr>
        <w:t>prima tra le imprese italiane,</w:t>
      </w:r>
      <w:r w:rsidRPr="00F10A72">
        <w:rPr>
          <w:rFonts w:cs="Arial"/>
          <w:i/>
          <w:szCs w:val="20"/>
          <w:lang w:val="it-IT"/>
        </w:rPr>
        <w:t xml:space="preserve"> tra i leader della sostenibilità a livello europeo</w:t>
      </w:r>
      <w:r>
        <w:rPr>
          <w:rFonts w:cs="Arial"/>
          <w:i/>
          <w:szCs w:val="20"/>
          <w:lang w:val="it-IT"/>
        </w:rPr>
        <w:t xml:space="preserve">, </w:t>
      </w:r>
      <w:r w:rsidRPr="00F10A72">
        <w:rPr>
          <w:rFonts w:cs="Arial"/>
          <w:i/>
          <w:szCs w:val="20"/>
          <w:lang w:val="it-IT"/>
        </w:rPr>
        <w:t>comunicata dall’autorevole quotidiano Financial Times</w:t>
      </w:r>
      <w:r>
        <w:rPr>
          <w:rFonts w:cs="Arial"/>
          <w:i/>
          <w:szCs w:val="20"/>
          <w:lang w:val="it-IT"/>
        </w:rPr>
        <w:t xml:space="preserve"> (ii) </w:t>
      </w:r>
      <w:r w:rsidRPr="00F10A72">
        <w:rPr>
          <w:rFonts w:cs="Arial"/>
          <w:i/>
          <w:szCs w:val="20"/>
          <w:lang w:val="it-IT"/>
        </w:rPr>
        <w:t xml:space="preserve">la valutazione Gold da parte di </w:t>
      </w:r>
      <w:proofErr w:type="spellStart"/>
      <w:r w:rsidRPr="00F10A72">
        <w:rPr>
          <w:rFonts w:cs="Arial"/>
          <w:i/>
          <w:szCs w:val="20"/>
          <w:lang w:val="it-IT"/>
        </w:rPr>
        <w:t>Ecovadis</w:t>
      </w:r>
      <w:proofErr w:type="spellEnd"/>
      <w:r w:rsidRPr="00F10A72">
        <w:rPr>
          <w:rFonts w:cs="Arial"/>
          <w:i/>
          <w:szCs w:val="20"/>
          <w:lang w:val="it-IT"/>
        </w:rPr>
        <w:t>, primario istituto internazionale di valutazione ESG</w:t>
      </w:r>
      <w:r>
        <w:rPr>
          <w:rFonts w:cs="Arial"/>
          <w:i/>
          <w:szCs w:val="20"/>
          <w:lang w:val="it-IT"/>
        </w:rPr>
        <w:t xml:space="preserve"> (iii) la sua</w:t>
      </w:r>
      <w:r w:rsidRPr="00F10A72">
        <w:rPr>
          <w:rFonts w:cs="Arial"/>
          <w:i/>
          <w:szCs w:val="20"/>
          <w:lang w:val="it-IT"/>
        </w:rPr>
        <w:t xml:space="preserve"> partecipa</w:t>
      </w:r>
      <w:r>
        <w:rPr>
          <w:rFonts w:cs="Arial"/>
          <w:i/>
          <w:szCs w:val="20"/>
          <w:lang w:val="it-IT"/>
        </w:rPr>
        <w:t>zione</w:t>
      </w:r>
      <w:r w:rsidRPr="00F10A72">
        <w:rPr>
          <w:rFonts w:cs="Arial"/>
          <w:i/>
          <w:szCs w:val="20"/>
          <w:lang w:val="it-IT"/>
        </w:rPr>
        <w:t xml:space="preserve">, su invito di Reuters, la più importante agenzia di stampa britannica,  - in rappresentanza del private </w:t>
      </w:r>
      <w:proofErr w:type="spellStart"/>
      <w:r w:rsidRPr="00F10A72">
        <w:rPr>
          <w:rFonts w:cs="Arial"/>
          <w:i/>
          <w:szCs w:val="20"/>
          <w:lang w:val="it-IT"/>
        </w:rPr>
        <w:t>sector</w:t>
      </w:r>
      <w:proofErr w:type="spellEnd"/>
      <w:r w:rsidRPr="00F10A72">
        <w:rPr>
          <w:rFonts w:cs="Arial"/>
          <w:i/>
          <w:szCs w:val="20"/>
          <w:lang w:val="it-IT"/>
        </w:rPr>
        <w:t xml:space="preserve"> - alla United Nations </w:t>
      </w:r>
      <w:proofErr w:type="spellStart"/>
      <w:r w:rsidRPr="00F10A72">
        <w:rPr>
          <w:rFonts w:cs="Arial"/>
          <w:i/>
          <w:szCs w:val="20"/>
          <w:lang w:val="it-IT"/>
        </w:rPr>
        <w:t>Climate</w:t>
      </w:r>
      <w:proofErr w:type="spellEnd"/>
      <w:r w:rsidRPr="00F10A72">
        <w:rPr>
          <w:rFonts w:cs="Arial"/>
          <w:i/>
          <w:szCs w:val="20"/>
          <w:lang w:val="it-IT"/>
        </w:rPr>
        <w:t xml:space="preserve"> </w:t>
      </w:r>
      <w:proofErr w:type="spellStart"/>
      <w:r w:rsidRPr="00F10A72">
        <w:rPr>
          <w:rFonts w:cs="Arial"/>
          <w:i/>
          <w:szCs w:val="20"/>
          <w:lang w:val="it-IT"/>
        </w:rPr>
        <w:t>Change</w:t>
      </w:r>
      <w:proofErr w:type="spellEnd"/>
      <w:r w:rsidRPr="00F10A72">
        <w:rPr>
          <w:rFonts w:cs="Arial"/>
          <w:i/>
          <w:szCs w:val="20"/>
          <w:lang w:val="it-IT"/>
        </w:rPr>
        <w:t xml:space="preserve"> Conference (COP 28) per riferire sull’impegno e sulle strategie mirate al raggiungimento del Net Zero</w:t>
      </w:r>
      <w:r>
        <w:rPr>
          <w:rFonts w:cs="Arial"/>
          <w:i/>
          <w:szCs w:val="20"/>
          <w:lang w:val="it-IT"/>
        </w:rPr>
        <w:t xml:space="preserve">. Inoltre, Alperia continuerà i percorsi già intrapresi in tema di diversificazione della produzione di energia e di customer </w:t>
      </w:r>
      <w:proofErr w:type="spellStart"/>
      <w:r>
        <w:rPr>
          <w:rFonts w:cs="Arial"/>
          <w:i/>
          <w:szCs w:val="20"/>
          <w:lang w:val="it-IT"/>
        </w:rPr>
        <w:t>centricity</w:t>
      </w:r>
      <w:proofErr w:type="spellEnd"/>
      <w:r>
        <w:rPr>
          <w:rFonts w:cs="Arial"/>
          <w:i/>
          <w:szCs w:val="20"/>
          <w:lang w:val="it-IT"/>
        </w:rPr>
        <w:t>”</w:t>
      </w:r>
      <w:r w:rsidRPr="00F10A72">
        <w:rPr>
          <w:rFonts w:cs="Arial"/>
          <w:i/>
          <w:szCs w:val="20"/>
          <w:lang w:val="it-IT"/>
        </w:rPr>
        <w:t>.</w:t>
      </w:r>
    </w:p>
    <w:p w14:paraId="49569FDD" w14:textId="77777777" w:rsidR="007D16AB" w:rsidRDefault="007D16AB" w:rsidP="007D16AB">
      <w:pPr>
        <w:autoSpaceDE w:val="0"/>
        <w:autoSpaceDN w:val="0"/>
        <w:adjustRightInd w:val="0"/>
        <w:spacing w:line="240" w:lineRule="auto"/>
        <w:jc w:val="both"/>
        <w:rPr>
          <w:rFonts w:cs="Arial"/>
          <w:i/>
          <w:szCs w:val="20"/>
          <w:lang w:val="it-IT"/>
        </w:rPr>
      </w:pPr>
    </w:p>
    <w:p w14:paraId="1B3FB00A" w14:textId="77777777" w:rsidR="007D16AB" w:rsidRDefault="007D16AB" w:rsidP="007D16AB">
      <w:pPr>
        <w:autoSpaceDE w:val="0"/>
        <w:autoSpaceDN w:val="0"/>
        <w:adjustRightInd w:val="0"/>
        <w:spacing w:line="240" w:lineRule="auto"/>
        <w:jc w:val="both"/>
        <w:rPr>
          <w:rFonts w:cs="Arial"/>
          <w:i/>
          <w:szCs w:val="20"/>
          <w:lang w:val="it-IT"/>
        </w:rPr>
      </w:pPr>
    </w:p>
    <w:p w14:paraId="75511F6F" w14:textId="77777777" w:rsidR="007D16AB" w:rsidRPr="00D712F1" w:rsidRDefault="007D16AB" w:rsidP="007D16AB">
      <w:pPr>
        <w:autoSpaceDE w:val="0"/>
        <w:autoSpaceDN w:val="0"/>
        <w:adjustRightInd w:val="0"/>
        <w:spacing w:line="240" w:lineRule="auto"/>
        <w:jc w:val="both"/>
        <w:rPr>
          <w:rFonts w:cs="Arial"/>
          <w:i/>
          <w:szCs w:val="20"/>
          <w:lang w:val="it-IT"/>
        </w:rPr>
      </w:pPr>
      <w:r w:rsidRPr="00EE4F11">
        <w:rPr>
          <w:rFonts w:cs="Arial"/>
          <w:bCs/>
          <w:szCs w:val="20"/>
          <w:lang w:val="it-IT"/>
        </w:rPr>
        <w:t>La</w:t>
      </w:r>
      <w:r w:rsidRPr="00EE4F11">
        <w:rPr>
          <w:rFonts w:cs="Arial"/>
          <w:b/>
          <w:bCs/>
          <w:szCs w:val="20"/>
          <w:lang w:val="it-IT"/>
        </w:rPr>
        <w:t xml:space="preserve"> Presidente del Consiglio di Gestione Flora Emma</w:t>
      </w:r>
      <w:r w:rsidRPr="00EE4F11">
        <w:rPr>
          <w:rFonts w:cs="Arial"/>
          <w:bCs/>
          <w:szCs w:val="20"/>
          <w:lang w:val="it-IT"/>
        </w:rPr>
        <w:t xml:space="preserve"> </w:t>
      </w:r>
      <w:proofErr w:type="spellStart"/>
      <w:r w:rsidRPr="00EE4F11">
        <w:rPr>
          <w:rFonts w:cs="Arial"/>
          <w:b/>
          <w:bCs/>
          <w:szCs w:val="20"/>
          <w:lang w:val="it-IT"/>
        </w:rPr>
        <w:t>Kröss</w:t>
      </w:r>
      <w:proofErr w:type="spellEnd"/>
      <w:r w:rsidRPr="00EE4F11">
        <w:rPr>
          <w:rFonts w:cs="Arial"/>
          <w:b/>
          <w:bCs/>
          <w:szCs w:val="20"/>
          <w:lang w:val="it-IT"/>
        </w:rPr>
        <w:t xml:space="preserve"> </w:t>
      </w:r>
      <w:r w:rsidRPr="00EE4F11">
        <w:rPr>
          <w:rFonts w:cs="Arial"/>
          <w:szCs w:val="20"/>
          <w:lang w:val="it-IT"/>
        </w:rPr>
        <w:t>ha dichiarato:</w:t>
      </w:r>
    </w:p>
    <w:p w14:paraId="442FE12E" w14:textId="77777777" w:rsidR="007D16AB" w:rsidRPr="00EE4F11" w:rsidRDefault="007D16AB" w:rsidP="007D16AB">
      <w:pPr>
        <w:autoSpaceDE w:val="0"/>
        <w:autoSpaceDN w:val="0"/>
        <w:adjustRightInd w:val="0"/>
        <w:spacing w:line="240" w:lineRule="auto"/>
        <w:jc w:val="both"/>
        <w:rPr>
          <w:rFonts w:cs="Arial"/>
          <w:i/>
          <w:szCs w:val="20"/>
          <w:lang w:val="it-IT"/>
        </w:rPr>
      </w:pPr>
      <w:r w:rsidRPr="00EE4F11">
        <w:rPr>
          <w:rFonts w:cs="Arial"/>
          <w:szCs w:val="20"/>
          <w:lang w:val="it-IT"/>
        </w:rPr>
        <w:t>“</w:t>
      </w:r>
      <w:r w:rsidRPr="00EE4F11">
        <w:rPr>
          <w:rFonts w:cs="Arial"/>
          <w:i/>
          <w:iCs/>
          <w:szCs w:val="20"/>
          <w:lang w:val="it-IT"/>
        </w:rPr>
        <w:t>Il Consiglio di Gestione ha approvato anche la dichiarazione consolidata di carattere non finanziario riferita al 202</w:t>
      </w:r>
      <w:r>
        <w:rPr>
          <w:rFonts w:cs="Arial"/>
          <w:i/>
          <w:iCs/>
          <w:szCs w:val="20"/>
          <w:lang w:val="it-IT"/>
        </w:rPr>
        <w:t>3</w:t>
      </w:r>
      <w:r w:rsidRPr="00EE4F11">
        <w:rPr>
          <w:rFonts w:cs="Arial"/>
          <w:i/>
          <w:iCs/>
          <w:szCs w:val="20"/>
          <w:lang w:val="it-IT"/>
        </w:rPr>
        <w:t xml:space="preserve">; il Gruppo Alperia ha confermato il proprio ruolo di attore primario a supporto dello sviluppo del territorio provinciale generando un </w:t>
      </w:r>
      <w:r w:rsidRPr="00992B7A">
        <w:rPr>
          <w:rFonts w:cs="Arial"/>
          <w:i/>
          <w:iCs/>
          <w:szCs w:val="20"/>
          <w:lang w:val="it-IT"/>
        </w:rPr>
        <w:t>valore aggiunto pari a</w:t>
      </w:r>
      <w:r>
        <w:rPr>
          <w:rFonts w:cs="Arial"/>
          <w:i/>
          <w:iCs/>
          <w:szCs w:val="20"/>
          <w:lang w:val="it-IT"/>
        </w:rPr>
        <w:t xml:space="preserve"> circa 389</w:t>
      </w:r>
      <w:r w:rsidRPr="00157094">
        <w:rPr>
          <w:rFonts w:cs="Arial"/>
          <w:i/>
          <w:iCs/>
          <w:szCs w:val="20"/>
          <w:lang w:val="it-IT"/>
        </w:rPr>
        <w:t xml:space="preserve"> milioni</w:t>
      </w:r>
      <w:r w:rsidRPr="00992B7A">
        <w:rPr>
          <w:rFonts w:cs="Arial"/>
          <w:i/>
          <w:iCs/>
          <w:szCs w:val="20"/>
          <w:lang w:val="it-IT"/>
        </w:rPr>
        <w:t xml:space="preserve"> di euro</w:t>
      </w:r>
      <w:r>
        <w:rPr>
          <w:rFonts w:cs="Arial"/>
          <w:i/>
          <w:iCs/>
          <w:szCs w:val="20"/>
          <w:lang w:val="it-IT"/>
        </w:rPr>
        <w:t xml:space="preserve"> (valore record per il Gruppo)</w:t>
      </w:r>
      <w:r w:rsidRPr="00992B7A">
        <w:rPr>
          <w:rFonts w:cs="Arial"/>
          <w:i/>
          <w:iCs/>
          <w:szCs w:val="20"/>
          <w:lang w:val="it-IT"/>
        </w:rPr>
        <w:t>.</w:t>
      </w:r>
    </w:p>
    <w:p w14:paraId="7BDE854A" w14:textId="77777777" w:rsidR="007D16AB" w:rsidRDefault="007D16AB" w:rsidP="007D16AB">
      <w:pPr>
        <w:autoSpaceDE w:val="0"/>
        <w:autoSpaceDN w:val="0"/>
        <w:adjustRightInd w:val="0"/>
        <w:spacing w:line="240" w:lineRule="auto"/>
        <w:jc w:val="both"/>
        <w:rPr>
          <w:rFonts w:cs="Arial"/>
          <w:bCs/>
          <w:i/>
          <w:iCs/>
          <w:szCs w:val="20"/>
          <w:lang w:val="it-IT"/>
        </w:rPr>
      </w:pPr>
    </w:p>
    <w:p w14:paraId="22AC5116" w14:textId="77777777" w:rsidR="007D16AB" w:rsidRPr="00AE4E49" w:rsidRDefault="007D16AB" w:rsidP="007D16AB">
      <w:pPr>
        <w:autoSpaceDE w:val="0"/>
        <w:autoSpaceDN w:val="0"/>
        <w:adjustRightInd w:val="0"/>
        <w:spacing w:line="240" w:lineRule="auto"/>
        <w:jc w:val="both"/>
        <w:rPr>
          <w:rFonts w:cs="Arial"/>
          <w:i/>
          <w:iCs/>
          <w:szCs w:val="20"/>
          <w:lang w:val="it-IT"/>
        </w:rPr>
      </w:pPr>
      <w:r>
        <w:rPr>
          <w:rFonts w:cs="Arial"/>
          <w:bCs/>
          <w:i/>
          <w:iCs/>
          <w:szCs w:val="20"/>
          <w:lang w:val="it-IT"/>
        </w:rPr>
        <w:lastRenderedPageBreak/>
        <w:t xml:space="preserve">A dimostrazione dell’attenzione del Gruppo verso la sua clientela in un contesto di prezzi dell’energia in discesa rispetto ai prezzi eccezionali del 2022, ma che si sono comunque mantenuti elevati se rapportati alla situazione </w:t>
      </w:r>
      <w:proofErr w:type="spellStart"/>
      <w:proofErr w:type="gramStart"/>
      <w:r>
        <w:rPr>
          <w:rFonts w:cs="Arial"/>
          <w:bCs/>
          <w:i/>
          <w:iCs/>
          <w:szCs w:val="20"/>
          <w:lang w:val="it-IT"/>
        </w:rPr>
        <w:t>pre</w:t>
      </w:r>
      <w:proofErr w:type="spellEnd"/>
      <w:r>
        <w:rPr>
          <w:rFonts w:cs="Arial"/>
          <w:bCs/>
          <w:i/>
          <w:iCs/>
          <w:szCs w:val="20"/>
          <w:lang w:val="it-IT"/>
        </w:rPr>
        <w:t xml:space="preserve"> Covid</w:t>
      </w:r>
      <w:proofErr w:type="gramEnd"/>
      <w:r>
        <w:rPr>
          <w:rFonts w:cs="Arial"/>
          <w:bCs/>
          <w:i/>
          <w:iCs/>
          <w:szCs w:val="20"/>
          <w:lang w:val="it-IT"/>
        </w:rPr>
        <w:t xml:space="preserve">, il Gruppo – anche </w:t>
      </w:r>
      <w:r w:rsidRPr="00AE4E49">
        <w:rPr>
          <w:rFonts w:cs="Arial"/>
          <w:i/>
          <w:iCs/>
          <w:szCs w:val="20"/>
          <w:lang w:val="it-IT"/>
        </w:rPr>
        <w:t xml:space="preserve">nel </w:t>
      </w:r>
      <w:r>
        <w:rPr>
          <w:rFonts w:cs="Arial"/>
          <w:i/>
          <w:iCs/>
          <w:szCs w:val="20"/>
          <w:lang w:val="it-IT"/>
        </w:rPr>
        <w:t>corso del</w:t>
      </w:r>
      <w:r w:rsidRPr="00AE4E49">
        <w:rPr>
          <w:rFonts w:cs="Arial"/>
          <w:i/>
          <w:iCs/>
          <w:szCs w:val="20"/>
          <w:lang w:val="it-IT"/>
        </w:rPr>
        <w:t xml:space="preserve"> 202</w:t>
      </w:r>
      <w:r>
        <w:rPr>
          <w:rFonts w:cs="Arial"/>
          <w:i/>
          <w:iCs/>
          <w:szCs w:val="20"/>
          <w:lang w:val="it-IT"/>
        </w:rPr>
        <w:t>3 -</w:t>
      </w:r>
      <w:r>
        <w:rPr>
          <w:rFonts w:cs="Arial"/>
          <w:bCs/>
          <w:i/>
          <w:iCs/>
          <w:szCs w:val="20"/>
          <w:lang w:val="it-IT"/>
        </w:rPr>
        <w:t xml:space="preserve"> </w:t>
      </w:r>
      <w:r w:rsidRPr="002C2AB8">
        <w:rPr>
          <w:rFonts w:cs="Arial"/>
          <w:bCs/>
          <w:i/>
          <w:iCs/>
          <w:szCs w:val="20"/>
          <w:lang w:val="it-IT"/>
        </w:rPr>
        <w:t xml:space="preserve">ha </w:t>
      </w:r>
      <w:r>
        <w:rPr>
          <w:rFonts w:cs="Arial"/>
          <w:bCs/>
          <w:i/>
          <w:iCs/>
          <w:szCs w:val="20"/>
          <w:lang w:val="it-IT"/>
        </w:rPr>
        <w:t xml:space="preserve">continuato a </w:t>
      </w:r>
      <w:r w:rsidRPr="00AE4E49">
        <w:rPr>
          <w:rFonts w:cs="Arial"/>
          <w:i/>
          <w:iCs/>
          <w:szCs w:val="20"/>
          <w:lang w:val="it-IT"/>
        </w:rPr>
        <w:t>propo</w:t>
      </w:r>
      <w:r>
        <w:rPr>
          <w:rFonts w:cs="Arial"/>
          <w:i/>
          <w:iCs/>
          <w:szCs w:val="20"/>
          <w:lang w:val="it-IT"/>
        </w:rPr>
        <w:t>rre</w:t>
      </w:r>
      <w:r w:rsidRPr="00AE4E49">
        <w:rPr>
          <w:rFonts w:cs="Arial"/>
          <w:i/>
          <w:iCs/>
          <w:szCs w:val="20"/>
          <w:lang w:val="it-IT"/>
        </w:rPr>
        <w:t xml:space="preserve"> ai clienti altoatesini</w:t>
      </w:r>
      <w:r>
        <w:rPr>
          <w:rFonts w:cs="Arial"/>
          <w:i/>
          <w:iCs/>
          <w:szCs w:val="20"/>
          <w:lang w:val="it-IT"/>
        </w:rPr>
        <w:t>, siano essi famiglie che imprese, offerte commerciali favorevoli</w:t>
      </w:r>
      <w:r w:rsidRPr="00AE4E49">
        <w:rPr>
          <w:rFonts w:cs="Arial"/>
          <w:i/>
          <w:iCs/>
          <w:szCs w:val="20"/>
          <w:lang w:val="it-IT"/>
        </w:rPr>
        <w:t>.</w:t>
      </w:r>
    </w:p>
    <w:p w14:paraId="47AF6D5E" w14:textId="77777777" w:rsidR="007D16AB" w:rsidRPr="002C2AB8" w:rsidRDefault="007D16AB" w:rsidP="007D16AB">
      <w:pPr>
        <w:autoSpaceDE w:val="0"/>
        <w:autoSpaceDN w:val="0"/>
        <w:adjustRightInd w:val="0"/>
        <w:spacing w:line="240" w:lineRule="auto"/>
        <w:jc w:val="both"/>
        <w:rPr>
          <w:rFonts w:cs="Arial"/>
          <w:bCs/>
          <w:i/>
          <w:iCs/>
          <w:szCs w:val="20"/>
          <w:lang w:val="it-IT"/>
        </w:rPr>
      </w:pPr>
    </w:p>
    <w:p w14:paraId="300387B7" w14:textId="77777777" w:rsidR="007D16AB" w:rsidRDefault="007D16AB" w:rsidP="007D16AB">
      <w:pPr>
        <w:autoSpaceDE w:val="0"/>
        <w:autoSpaceDN w:val="0"/>
        <w:adjustRightInd w:val="0"/>
        <w:spacing w:line="240" w:lineRule="auto"/>
        <w:jc w:val="both"/>
        <w:rPr>
          <w:rFonts w:cs="Arial"/>
          <w:i/>
          <w:iCs/>
          <w:szCs w:val="20"/>
          <w:lang w:val="it-IT"/>
        </w:rPr>
      </w:pPr>
      <w:r w:rsidRPr="00EE4F11">
        <w:rPr>
          <w:rFonts w:cs="Arial"/>
          <w:i/>
          <w:iCs/>
          <w:szCs w:val="20"/>
          <w:lang w:val="it-IT"/>
        </w:rPr>
        <w:t xml:space="preserve">Voglio ringraziare tutti i nostri collaboratori per lo sforzo profuso e i risultati </w:t>
      </w:r>
      <w:r>
        <w:rPr>
          <w:rFonts w:cs="Arial"/>
          <w:i/>
          <w:iCs/>
          <w:szCs w:val="20"/>
          <w:lang w:val="it-IT"/>
        </w:rPr>
        <w:t xml:space="preserve">molto importanti </w:t>
      </w:r>
      <w:r w:rsidRPr="00EE4F11">
        <w:rPr>
          <w:rFonts w:cs="Arial"/>
          <w:i/>
          <w:iCs/>
          <w:szCs w:val="20"/>
          <w:lang w:val="it-IT"/>
        </w:rPr>
        <w:t>raggiunti”.</w:t>
      </w:r>
    </w:p>
    <w:p w14:paraId="127A45C9" w14:textId="77777777" w:rsidR="007D16AB" w:rsidRDefault="007D16AB" w:rsidP="007D16AB">
      <w:pPr>
        <w:autoSpaceDE w:val="0"/>
        <w:autoSpaceDN w:val="0"/>
        <w:adjustRightInd w:val="0"/>
        <w:spacing w:line="240" w:lineRule="auto"/>
        <w:jc w:val="both"/>
        <w:rPr>
          <w:rFonts w:cs="Arial"/>
          <w:i/>
          <w:iCs/>
          <w:szCs w:val="20"/>
          <w:lang w:val="it-IT"/>
        </w:rPr>
      </w:pPr>
    </w:p>
    <w:p w14:paraId="77D3DC60" w14:textId="77777777" w:rsidR="007D16AB" w:rsidRDefault="007D16AB" w:rsidP="007D16AB">
      <w:pPr>
        <w:autoSpaceDE w:val="0"/>
        <w:autoSpaceDN w:val="0"/>
        <w:adjustRightInd w:val="0"/>
        <w:spacing w:line="240" w:lineRule="auto"/>
        <w:jc w:val="both"/>
        <w:rPr>
          <w:rFonts w:cs="Arial"/>
          <w:i/>
          <w:iCs/>
          <w:szCs w:val="20"/>
          <w:lang w:val="it-IT"/>
        </w:rPr>
      </w:pPr>
    </w:p>
    <w:p w14:paraId="15BA3D19" w14:textId="77777777" w:rsidR="007D16AB" w:rsidRDefault="007D16AB" w:rsidP="007D16AB">
      <w:pPr>
        <w:autoSpaceDE w:val="0"/>
        <w:autoSpaceDN w:val="0"/>
        <w:adjustRightInd w:val="0"/>
        <w:spacing w:line="240" w:lineRule="auto"/>
        <w:jc w:val="both"/>
        <w:rPr>
          <w:rFonts w:cs="Arial"/>
          <w:i/>
          <w:iCs/>
          <w:szCs w:val="20"/>
          <w:lang w:val="it-IT"/>
        </w:rPr>
      </w:pPr>
    </w:p>
    <w:p w14:paraId="24C6A30D" w14:textId="77777777" w:rsidR="007D16AB" w:rsidRDefault="007D16AB" w:rsidP="007D16AB">
      <w:pPr>
        <w:autoSpaceDE w:val="0"/>
        <w:autoSpaceDN w:val="0"/>
        <w:adjustRightInd w:val="0"/>
        <w:spacing w:line="240" w:lineRule="auto"/>
        <w:jc w:val="both"/>
        <w:rPr>
          <w:rFonts w:cs="Arial"/>
          <w:i/>
          <w:iCs/>
          <w:szCs w:val="20"/>
          <w:lang w:val="it-IT"/>
        </w:rPr>
      </w:pPr>
    </w:p>
    <w:p w14:paraId="736A01B0" w14:textId="77777777" w:rsidR="007D16AB" w:rsidRPr="00EE4F11" w:rsidRDefault="007D16AB" w:rsidP="007D16AB">
      <w:pPr>
        <w:autoSpaceDE w:val="0"/>
        <w:autoSpaceDN w:val="0"/>
        <w:adjustRightInd w:val="0"/>
        <w:spacing w:line="240" w:lineRule="auto"/>
        <w:jc w:val="center"/>
        <w:rPr>
          <w:rFonts w:cs="Arial"/>
          <w:szCs w:val="20"/>
          <w:lang w:val="it-IT"/>
        </w:rPr>
      </w:pPr>
      <w:r w:rsidRPr="00EE4F11">
        <w:rPr>
          <w:rFonts w:cs="Arial"/>
          <w:szCs w:val="20"/>
          <w:lang w:val="it-IT"/>
        </w:rPr>
        <w:t>* * *</w:t>
      </w:r>
    </w:p>
    <w:p w14:paraId="44CFA038" w14:textId="77777777" w:rsidR="007D16AB" w:rsidRPr="00EE4F11" w:rsidRDefault="007D16AB" w:rsidP="007D16AB">
      <w:pPr>
        <w:autoSpaceDE w:val="0"/>
        <w:autoSpaceDN w:val="0"/>
        <w:adjustRightInd w:val="0"/>
        <w:spacing w:line="240" w:lineRule="auto"/>
        <w:jc w:val="center"/>
        <w:rPr>
          <w:rFonts w:cs="Arial"/>
          <w:szCs w:val="20"/>
          <w:lang w:val="it-IT"/>
        </w:rPr>
      </w:pPr>
    </w:p>
    <w:p w14:paraId="6C4251BE" w14:textId="77777777" w:rsidR="007D16AB" w:rsidRPr="00EE4F11" w:rsidRDefault="007D16AB" w:rsidP="007D16AB">
      <w:pPr>
        <w:autoSpaceDE w:val="0"/>
        <w:autoSpaceDN w:val="0"/>
        <w:adjustRightInd w:val="0"/>
        <w:spacing w:line="240" w:lineRule="auto"/>
        <w:jc w:val="both"/>
        <w:rPr>
          <w:rFonts w:cs="Arial"/>
          <w:b/>
          <w:bCs/>
          <w:i/>
          <w:iCs/>
          <w:szCs w:val="20"/>
          <w:lang w:val="it-IT"/>
        </w:rPr>
      </w:pPr>
      <w:r w:rsidRPr="00EE4F11">
        <w:rPr>
          <w:rFonts w:cs="Arial"/>
          <w:b/>
          <w:bCs/>
          <w:szCs w:val="20"/>
          <w:lang w:val="it-IT"/>
        </w:rPr>
        <w:t xml:space="preserve">Indicatori Alternativi di </w:t>
      </w:r>
      <w:r w:rsidRPr="00EE4F11">
        <w:rPr>
          <w:rFonts w:cs="Arial"/>
          <w:b/>
          <w:bCs/>
          <w:i/>
          <w:iCs/>
          <w:szCs w:val="20"/>
          <w:lang w:val="it-IT"/>
        </w:rPr>
        <w:t>Performance</w:t>
      </w:r>
    </w:p>
    <w:p w14:paraId="4746D837" w14:textId="77777777" w:rsidR="007D16AB" w:rsidRPr="00EE4F11" w:rsidRDefault="007D16AB" w:rsidP="007D16AB">
      <w:pPr>
        <w:autoSpaceDE w:val="0"/>
        <w:autoSpaceDN w:val="0"/>
        <w:adjustRightInd w:val="0"/>
        <w:spacing w:line="240" w:lineRule="auto"/>
        <w:jc w:val="both"/>
        <w:rPr>
          <w:rFonts w:cs="Arial"/>
          <w:szCs w:val="20"/>
          <w:lang w:val="it-IT"/>
        </w:rPr>
      </w:pPr>
      <w:r w:rsidRPr="00EE4F11">
        <w:rPr>
          <w:rFonts w:cs="Arial"/>
          <w:szCs w:val="20"/>
          <w:lang w:val="it-IT"/>
        </w:rPr>
        <w:t xml:space="preserve">Nel presente comunicato stampa vengono utilizzati alcuni “indicatori alternativi di </w:t>
      </w:r>
      <w:r w:rsidRPr="00EE4F11">
        <w:rPr>
          <w:rFonts w:cs="Arial"/>
          <w:i/>
          <w:iCs/>
          <w:szCs w:val="20"/>
          <w:lang w:val="it-IT"/>
        </w:rPr>
        <w:t>performance</w:t>
      </w:r>
      <w:r w:rsidRPr="00EE4F11">
        <w:rPr>
          <w:rFonts w:cs="Arial"/>
          <w:szCs w:val="20"/>
          <w:lang w:val="it-IT"/>
        </w:rPr>
        <w:t xml:space="preserve">” non previsti dai principi contabili internazionali così come adottati </w:t>
      </w:r>
      <w:r w:rsidRPr="00910F4C">
        <w:rPr>
          <w:rFonts w:cs="Arial"/>
          <w:szCs w:val="20"/>
          <w:lang w:val="it-IT"/>
        </w:rPr>
        <w:t xml:space="preserve">dall’Unione Europea (IFRS-EU), ma che il </w:t>
      </w:r>
      <w:r w:rsidRPr="00910F4C">
        <w:rPr>
          <w:rFonts w:cs="Arial"/>
          <w:i/>
          <w:iCs/>
          <w:szCs w:val="20"/>
          <w:lang w:val="it-IT"/>
        </w:rPr>
        <w:t xml:space="preserve">management </w:t>
      </w:r>
      <w:r w:rsidRPr="00910F4C">
        <w:rPr>
          <w:rFonts w:cs="Arial"/>
          <w:szCs w:val="20"/>
          <w:lang w:val="it-IT"/>
        </w:rPr>
        <w:t>di Alperia Spa ritiene utili per una migliore valutazione e monitoraggio dell’andamento della gestione economico-finanziaria di Alperia Sp</w:t>
      </w:r>
      <w:r>
        <w:rPr>
          <w:rFonts w:cs="Arial"/>
          <w:szCs w:val="20"/>
          <w:lang w:val="it-IT"/>
        </w:rPr>
        <w:t>a</w:t>
      </w:r>
      <w:r w:rsidRPr="00910F4C">
        <w:rPr>
          <w:rFonts w:cs="Arial"/>
          <w:szCs w:val="20"/>
          <w:lang w:val="it-IT"/>
        </w:rPr>
        <w:t xml:space="preserve"> e del Gruppo. </w:t>
      </w:r>
      <w:r w:rsidRPr="007E1771">
        <w:rPr>
          <w:rFonts w:cs="Arial"/>
          <w:szCs w:val="20"/>
          <w:lang w:val="it-IT"/>
        </w:rPr>
        <w:t>In linea con quanto raccomandato negli Orientamenti pubblicati in data 5 ottobre 2015 dall’</w:t>
      </w:r>
      <w:proofErr w:type="spellStart"/>
      <w:r w:rsidRPr="007E1771">
        <w:rPr>
          <w:rFonts w:cs="Arial"/>
          <w:i/>
          <w:iCs/>
          <w:szCs w:val="20"/>
          <w:lang w:val="it-IT"/>
        </w:rPr>
        <w:t>European</w:t>
      </w:r>
      <w:proofErr w:type="spellEnd"/>
      <w:r w:rsidRPr="007E1771">
        <w:rPr>
          <w:rFonts w:cs="Arial"/>
          <w:i/>
          <w:iCs/>
          <w:szCs w:val="20"/>
          <w:lang w:val="it-IT"/>
        </w:rPr>
        <w:t xml:space="preserve"> Securities and Markets Authority </w:t>
      </w:r>
      <w:r w:rsidRPr="007E1771">
        <w:rPr>
          <w:rFonts w:cs="Arial"/>
          <w:szCs w:val="20"/>
          <w:lang w:val="it-IT"/>
        </w:rPr>
        <w:t xml:space="preserve">(ESMA) ai sensi del Regolamento </w:t>
      </w:r>
      <w:r>
        <w:rPr>
          <w:rFonts w:cs="Arial"/>
          <w:szCs w:val="20"/>
          <w:lang w:val="it-IT"/>
        </w:rPr>
        <w:t>(UE) n. 1095/2010</w:t>
      </w:r>
      <w:r w:rsidRPr="007E1771">
        <w:rPr>
          <w:rFonts w:cs="Arial"/>
          <w:szCs w:val="20"/>
          <w:lang w:val="it-IT"/>
        </w:rPr>
        <w:t xml:space="preserve"> e incorporati da</w:t>
      </w:r>
      <w:r>
        <w:rPr>
          <w:rFonts w:cs="Arial"/>
          <w:szCs w:val="20"/>
          <w:lang w:val="it-IT"/>
        </w:rPr>
        <w:t>lla</w:t>
      </w:r>
      <w:r w:rsidRPr="007E1771">
        <w:rPr>
          <w:rFonts w:cs="Arial"/>
          <w:szCs w:val="20"/>
          <w:lang w:val="it-IT"/>
        </w:rPr>
        <w:t xml:space="preserve"> Consob nelle proprie prassi di vigilanza con comunicazione no. 92543 del 3 dicembre 2015</w:t>
      </w:r>
      <w:r>
        <w:rPr>
          <w:rFonts w:cs="Arial"/>
          <w:szCs w:val="20"/>
          <w:lang w:val="it-IT"/>
        </w:rPr>
        <w:t>,</w:t>
      </w:r>
      <w:r w:rsidRPr="00910F4C">
        <w:rPr>
          <w:rFonts w:cs="Arial"/>
          <w:szCs w:val="20"/>
          <w:lang w:val="it-IT"/>
        </w:rPr>
        <w:t xml:space="preserve"> nonché negli </w:t>
      </w:r>
      <w:r w:rsidRPr="007E1771">
        <w:rPr>
          <w:rFonts w:cs="Arial"/>
          <w:szCs w:val="20"/>
          <w:lang w:val="it-IT"/>
        </w:rPr>
        <w:t xml:space="preserve">Orientamenti pubblicati in data 4 marzo 2021 </w:t>
      </w:r>
      <w:r>
        <w:rPr>
          <w:rFonts w:cs="Arial"/>
          <w:szCs w:val="20"/>
          <w:lang w:val="it-IT"/>
        </w:rPr>
        <w:t>dalla medesima Autorità</w:t>
      </w:r>
      <w:r w:rsidRPr="007E1771">
        <w:rPr>
          <w:rFonts w:cs="Arial"/>
          <w:szCs w:val="20"/>
          <w:lang w:val="it-IT"/>
        </w:rPr>
        <w:t xml:space="preserve"> ai sensi del Regolamento (UE) </w:t>
      </w:r>
      <w:r>
        <w:rPr>
          <w:rFonts w:cs="Arial"/>
          <w:szCs w:val="20"/>
          <w:lang w:val="it-IT"/>
        </w:rPr>
        <w:t xml:space="preserve">n. </w:t>
      </w:r>
      <w:r w:rsidRPr="007E1771">
        <w:rPr>
          <w:rFonts w:cs="Arial"/>
          <w:szCs w:val="20"/>
          <w:lang w:val="it-IT"/>
        </w:rPr>
        <w:t>2017/1129 e oggetto del richiamo di attenzione n. 5/21 del 29 aprile 2021</w:t>
      </w:r>
      <w:r w:rsidRPr="00910F4C">
        <w:rPr>
          <w:rFonts w:cs="Arial"/>
          <w:szCs w:val="20"/>
          <w:lang w:val="it-IT"/>
        </w:rPr>
        <w:t xml:space="preserve"> di Consob, si riportano di seguito il significato, il contenuto e la base di calcolo di tali indicatori alternativi di </w:t>
      </w:r>
      <w:r w:rsidRPr="00910F4C">
        <w:rPr>
          <w:rFonts w:cs="Arial"/>
          <w:i/>
          <w:iCs/>
          <w:szCs w:val="20"/>
          <w:lang w:val="it-IT"/>
        </w:rPr>
        <w:t>performance</w:t>
      </w:r>
      <w:r w:rsidRPr="00910F4C">
        <w:rPr>
          <w:rFonts w:cs="Arial"/>
          <w:szCs w:val="20"/>
          <w:lang w:val="it-IT"/>
        </w:rPr>
        <w:t>:</w:t>
      </w:r>
    </w:p>
    <w:p w14:paraId="03E188EE" w14:textId="77777777" w:rsidR="007D16AB" w:rsidRPr="00EE4F11" w:rsidRDefault="007D16AB" w:rsidP="007D16AB">
      <w:pPr>
        <w:autoSpaceDE w:val="0"/>
        <w:autoSpaceDN w:val="0"/>
        <w:adjustRightInd w:val="0"/>
        <w:spacing w:line="240" w:lineRule="auto"/>
        <w:jc w:val="both"/>
        <w:rPr>
          <w:rFonts w:cs="Arial"/>
          <w:szCs w:val="20"/>
          <w:lang w:val="it-IT"/>
        </w:rPr>
      </w:pPr>
    </w:p>
    <w:p w14:paraId="7E4EC8DB" w14:textId="77777777" w:rsidR="007D16AB" w:rsidRPr="00EE4F11" w:rsidRDefault="007D16AB" w:rsidP="007D16AB">
      <w:pPr>
        <w:autoSpaceDE w:val="0"/>
        <w:autoSpaceDN w:val="0"/>
        <w:adjustRightInd w:val="0"/>
        <w:spacing w:line="240" w:lineRule="auto"/>
        <w:jc w:val="both"/>
        <w:rPr>
          <w:rFonts w:cs="Arial"/>
          <w:szCs w:val="20"/>
          <w:lang w:val="it-IT"/>
        </w:rPr>
      </w:pPr>
      <w:r w:rsidRPr="00EE4F11">
        <w:rPr>
          <w:rFonts w:cs="Arial"/>
          <w:szCs w:val="20"/>
          <w:lang w:val="it-IT"/>
        </w:rPr>
        <w:t xml:space="preserve">- </w:t>
      </w:r>
      <w:r w:rsidRPr="00EE4F11">
        <w:rPr>
          <w:rFonts w:cs="Arial"/>
          <w:b/>
          <w:szCs w:val="20"/>
          <w:lang w:val="it-IT"/>
        </w:rPr>
        <w:t>EBITDA (o Margine operativo lordo)</w:t>
      </w:r>
      <w:r w:rsidRPr="00EE4F11">
        <w:rPr>
          <w:rFonts w:cs="Arial"/>
          <w:szCs w:val="20"/>
          <w:lang w:val="it-IT"/>
        </w:rPr>
        <w:t xml:space="preserve"> è un indicatore alternativo di performance operativa, calcolato come la somma del “Risultato operativo netto” più gli “Ammortamenti, accantonamenti e svalutazioni”;</w:t>
      </w:r>
    </w:p>
    <w:p w14:paraId="2F7C74D1" w14:textId="77777777" w:rsidR="007D16AB" w:rsidRPr="00EE4F11" w:rsidRDefault="007D16AB" w:rsidP="007D16AB">
      <w:pPr>
        <w:autoSpaceDE w:val="0"/>
        <w:autoSpaceDN w:val="0"/>
        <w:adjustRightInd w:val="0"/>
        <w:spacing w:line="240" w:lineRule="auto"/>
        <w:jc w:val="both"/>
        <w:rPr>
          <w:rFonts w:cs="Arial"/>
          <w:szCs w:val="20"/>
          <w:lang w:val="it-IT"/>
        </w:rPr>
      </w:pPr>
    </w:p>
    <w:p w14:paraId="549A481F" w14:textId="77777777" w:rsidR="007D16AB" w:rsidRPr="00EE4F11" w:rsidRDefault="007D16AB" w:rsidP="007D16AB">
      <w:pPr>
        <w:autoSpaceDE w:val="0"/>
        <w:autoSpaceDN w:val="0"/>
        <w:adjustRightInd w:val="0"/>
        <w:spacing w:line="240" w:lineRule="auto"/>
        <w:jc w:val="both"/>
        <w:rPr>
          <w:rFonts w:cs="Arial"/>
          <w:szCs w:val="20"/>
          <w:lang w:val="it-IT"/>
        </w:rPr>
      </w:pPr>
      <w:r w:rsidRPr="00EE4F11">
        <w:rPr>
          <w:rFonts w:cs="Arial"/>
          <w:szCs w:val="20"/>
          <w:lang w:val="it-IT"/>
        </w:rPr>
        <w:t xml:space="preserve">- </w:t>
      </w:r>
      <w:r w:rsidRPr="00EE4F11">
        <w:rPr>
          <w:rFonts w:cs="Arial"/>
          <w:b/>
          <w:szCs w:val="20"/>
          <w:lang w:val="it-IT"/>
        </w:rPr>
        <w:t xml:space="preserve">Indebitamento finanziario </w:t>
      </w:r>
      <w:r w:rsidRPr="00EE4F11">
        <w:rPr>
          <w:rFonts w:cs="Arial"/>
          <w:szCs w:val="20"/>
          <w:lang w:val="it-IT"/>
        </w:rPr>
        <w:t xml:space="preserve">è un indicatore della propria struttura finanziaria. </w:t>
      </w:r>
      <w:r w:rsidRPr="007E1771">
        <w:rPr>
          <w:rFonts w:cs="Arial"/>
          <w:szCs w:val="20"/>
          <w:lang w:val="it-IT"/>
        </w:rPr>
        <w:t>Tale indicatore è determinato quale risultante dei debiti finanziari correnti e non correnti al netto delle disponibilità liquide e delle attività finanziarie correnti.</w:t>
      </w:r>
    </w:p>
    <w:p w14:paraId="3DCDB111" w14:textId="77777777" w:rsidR="007D16AB" w:rsidRPr="00EE4F11" w:rsidRDefault="007D16AB" w:rsidP="007D16AB">
      <w:pPr>
        <w:autoSpaceDE w:val="0"/>
        <w:autoSpaceDN w:val="0"/>
        <w:adjustRightInd w:val="0"/>
        <w:spacing w:line="240" w:lineRule="auto"/>
        <w:jc w:val="both"/>
        <w:rPr>
          <w:rFonts w:cs="Arial"/>
          <w:szCs w:val="20"/>
          <w:lang w:val="it-IT"/>
        </w:rPr>
      </w:pPr>
    </w:p>
    <w:p w14:paraId="170EB0EB" w14:textId="77777777" w:rsidR="007D16AB" w:rsidRDefault="007D16AB" w:rsidP="007D16AB">
      <w:pPr>
        <w:autoSpaceDE w:val="0"/>
        <w:autoSpaceDN w:val="0"/>
        <w:adjustRightInd w:val="0"/>
        <w:spacing w:line="240" w:lineRule="auto"/>
        <w:jc w:val="both"/>
        <w:rPr>
          <w:rFonts w:cs="Arial"/>
          <w:szCs w:val="20"/>
          <w:lang w:val="it-IT"/>
        </w:rPr>
      </w:pPr>
      <w:r w:rsidRPr="00EE4F11">
        <w:rPr>
          <w:rFonts w:cs="Arial"/>
          <w:szCs w:val="20"/>
          <w:lang w:val="it-IT"/>
        </w:rPr>
        <w:t>Si rammenta che i bilanci sono stati redatti applicando i principi contabili internazionali IAS/IFRS, come richiesto a seguito della quotazione su un mercato regolamentato dei Green Bond Alperia.</w:t>
      </w:r>
    </w:p>
    <w:p w14:paraId="29A5F5BF" w14:textId="77777777" w:rsidR="007D16AB" w:rsidRDefault="007D16AB" w:rsidP="007D16AB">
      <w:pPr>
        <w:autoSpaceDE w:val="0"/>
        <w:autoSpaceDN w:val="0"/>
        <w:adjustRightInd w:val="0"/>
        <w:spacing w:line="240" w:lineRule="auto"/>
        <w:jc w:val="both"/>
        <w:rPr>
          <w:rFonts w:cs="Arial"/>
          <w:szCs w:val="20"/>
          <w:lang w:val="it-IT"/>
        </w:rPr>
      </w:pPr>
    </w:p>
    <w:p w14:paraId="5ED17A13" w14:textId="77777777" w:rsidR="007D16AB" w:rsidRPr="00EE4F11" w:rsidRDefault="007D16AB" w:rsidP="007D16AB">
      <w:pPr>
        <w:autoSpaceDE w:val="0"/>
        <w:autoSpaceDN w:val="0"/>
        <w:adjustRightInd w:val="0"/>
        <w:spacing w:line="240" w:lineRule="auto"/>
        <w:jc w:val="both"/>
        <w:rPr>
          <w:rFonts w:cs="Arial"/>
          <w:szCs w:val="20"/>
          <w:lang w:val="it-IT"/>
        </w:rPr>
      </w:pPr>
    </w:p>
    <w:p w14:paraId="25451501" w14:textId="77777777" w:rsidR="007D16AB" w:rsidRPr="008E6B55" w:rsidRDefault="007D16AB" w:rsidP="007D16AB">
      <w:pPr>
        <w:autoSpaceDE w:val="0"/>
        <w:autoSpaceDN w:val="0"/>
        <w:adjustRightInd w:val="0"/>
        <w:spacing w:line="240" w:lineRule="auto"/>
        <w:jc w:val="center"/>
        <w:rPr>
          <w:rFonts w:cs="Arial"/>
          <w:szCs w:val="20"/>
          <w:lang w:val="it-IT"/>
        </w:rPr>
      </w:pPr>
      <w:r w:rsidRPr="00FF1762">
        <w:rPr>
          <w:rFonts w:cs="Arial"/>
          <w:szCs w:val="20"/>
          <w:lang w:val="it-IT"/>
        </w:rPr>
        <w:t>********</w:t>
      </w:r>
    </w:p>
    <w:p w14:paraId="664382A1" w14:textId="77777777" w:rsidR="007D16AB" w:rsidRPr="00966EAB" w:rsidRDefault="007D16AB" w:rsidP="007D16AB">
      <w:pPr>
        <w:autoSpaceDE w:val="0"/>
        <w:autoSpaceDN w:val="0"/>
        <w:adjustRightInd w:val="0"/>
        <w:spacing w:line="240" w:lineRule="auto"/>
        <w:jc w:val="both"/>
        <w:rPr>
          <w:rFonts w:cs="Arial"/>
          <w:iCs/>
          <w:szCs w:val="20"/>
          <w:lang w:val="it-IT"/>
        </w:rPr>
      </w:pPr>
    </w:p>
    <w:p w14:paraId="46F74E54" w14:textId="77777777" w:rsidR="007D16AB" w:rsidRPr="00966EAB" w:rsidRDefault="007D16AB" w:rsidP="007D16AB">
      <w:pPr>
        <w:autoSpaceDE w:val="0"/>
        <w:autoSpaceDN w:val="0"/>
        <w:adjustRightInd w:val="0"/>
        <w:spacing w:line="240" w:lineRule="auto"/>
        <w:jc w:val="both"/>
        <w:rPr>
          <w:rFonts w:cs="Arial"/>
          <w:iCs/>
          <w:szCs w:val="20"/>
          <w:lang w:val="it-IT"/>
        </w:rPr>
      </w:pPr>
      <w:r w:rsidRPr="00966EAB">
        <w:rPr>
          <w:rFonts w:cs="Arial"/>
          <w:iCs/>
          <w:szCs w:val="20"/>
          <w:lang w:val="it-IT"/>
        </w:rPr>
        <w:t>Per ulteriori informazioni:</w:t>
      </w:r>
      <w:r w:rsidRPr="00966EAB">
        <w:rPr>
          <w:rFonts w:cs="Arial"/>
          <w:iCs/>
          <w:szCs w:val="20"/>
          <w:lang w:val="it-IT"/>
        </w:rPr>
        <w:cr/>
      </w:r>
    </w:p>
    <w:p w14:paraId="1884BF50" w14:textId="77777777" w:rsidR="007D16AB" w:rsidRPr="00D712F1" w:rsidRDefault="007D16AB" w:rsidP="007D16AB">
      <w:pPr>
        <w:autoSpaceDE w:val="0"/>
        <w:autoSpaceDN w:val="0"/>
        <w:adjustRightInd w:val="0"/>
        <w:spacing w:line="240" w:lineRule="auto"/>
        <w:jc w:val="both"/>
        <w:rPr>
          <w:rFonts w:cs="Arial"/>
          <w:szCs w:val="20"/>
          <w:lang w:val="it-IT"/>
        </w:rPr>
      </w:pPr>
      <w:r w:rsidRPr="00D712F1">
        <w:rPr>
          <w:rFonts w:cs="Arial"/>
          <w:szCs w:val="20"/>
          <w:lang w:val="it-IT"/>
        </w:rPr>
        <w:t>Paolo Acuti</w:t>
      </w:r>
      <w:r w:rsidRPr="00D712F1">
        <w:rPr>
          <w:rFonts w:cs="Arial"/>
          <w:szCs w:val="20"/>
          <w:lang w:val="it-IT"/>
        </w:rPr>
        <w:tab/>
      </w:r>
      <w:r w:rsidRPr="00D712F1">
        <w:rPr>
          <w:rFonts w:cs="Arial"/>
          <w:szCs w:val="20"/>
          <w:lang w:val="it-IT"/>
        </w:rPr>
        <w:tab/>
      </w:r>
      <w:r w:rsidRPr="00D712F1">
        <w:rPr>
          <w:rFonts w:cs="Arial"/>
          <w:szCs w:val="20"/>
          <w:lang w:val="it-IT"/>
        </w:rPr>
        <w:tab/>
      </w:r>
      <w:r w:rsidRPr="00D712F1">
        <w:rPr>
          <w:rFonts w:cs="Arial"/>
          <w:szCs w:val="20"/>
          <w:lang w:val="it-IT"/>
        </w:rPr>
        <w:tab/>
      </w:r>
      <w:r w:rsidRPr="00D712F1">
        <w:rPr>
          <w:rFonts w:cs="Arial"/>
          <w:szCs w:val="20"/>
          <w:lang w:val="it-IT"/>
        </w:rPr>
        <w:tab/>
        <w:t xml:space="preserve">Stefan </w:t>
      </w:r>
      <w:proofErr w:type="spellStart"/>
      <w:r w:rsidRPr="00D712F1">
        <w:rPr>
          <w:rFonts w:cs="Arial"/>
          <w:szCs w:val="20"/>
          <w:lang w:val="it-IT"/>
        </w:rPr>
        <w:t>Stabler</w:t>
      </w:r>
      <w:proofErr w:type="spellEnd"/>
    </w:p>
    <w:p w14:paraId="37AC2EE3" w14:textId="77777777" w:rsidR="007D16AB" w:rsidRPr="00D712F1" w:rsidRDefault="007D16AB" w:rsidP="007D16AB">
      <w:pPr>
        <w:autoSpaceDE w:val="0"/>
        <w:autoSpaceDN w:val="0"/>
        <w:adjustRightInd w:val="0"/>
        <w:spacing w:line="240" w:lineRule="auto"/>
        <w:jc w:val="both"/>
        <w:rPr>
          <w:rFonts w:cs="Arial"/>
          <w:szCs w:val="20"/>
          <w:lang w:val="it-IT"/>
        </w:rPr>
      </w:pPr>
      <w:r w:rsidRPr="00D712F1">
        <w:rPr>
          <w:rFonts w:cs="Arial"/>
          <w:szCs w:val="20"/>
          <w:lang w:val="it-IT"/>
        </w:rPr>
        <w:t xml:space="preserve">Vicedirettore </w:t>
      </w:r>
      <w:r>
        <w:rPr>
          <w:rFonts w:cs="Arial"/>
          <w:szCs w:val="20"/>
          <w:lang w:val="it-IT"/>
        </w:rPr>
        <w:t>Generale</w:t>
      </w:r>
      <w:r>
        <w:rPr>
          <w:rFonts w:cs="Arial"/>
          <w:szCs w:val="20"/>
          <w:lang w:val="it-IT"/>
        </w:rPr>
        <w:tab/>
      </w:r>
      <w:r>
        <w:rPr>
          <w:rFonts w:cs="Arial"/>
          <w:szCs w:val="20"/>
          <w:lang w:val="it-IT"/>
        </w:rPr>
        <w:tab/>
      </w:r>
      <w:r>
        <w:rPr>
          <w:rFonts w:cs="Arial"/>
          <w:szCs w:val="20"/>
          <w:lang w:val="it-IT"/>
        </w:rPr>
        <w:tab/>
      </w:r>
      <w:r>
        <w:rPr>
          <w:rFonts w:cs="Arial"/>
          <w:szCs w:val="20"/>
          <w:lang w:val="it-IT"/>
        </w:rPr>
        <w:tab/>
        <w:t xml:space="preserve">Direttore Strategic Marketing </w:t>
      </w:r>
    </w:p>
    <w:p w14:paraId="638F9799" w14:textId="77777777" w:rsidR="007D16AB" w:rsidRPr="00912D22" w:rsidRDefault="007D16AB" w:rsidP="007D16AB">
      <w:pPr>
        <w:autoSpaceDE w:val="0"/>
        <w:autoSpaceDN w:val="0"/>
        <w:adjustRightInd w:val="0"/>
        <w:spacing w:line="240" w:lineRule="auto"/>
        <w:jc w:val="both"/>
        <w:rPr>
          <w:rFonts w:cs="Arial"/>
          <w:szCs w:val="20"/>
          <w:lang w:val="it-IT"/>
        </w:rPr>
      </w:pPr>
      <w:hyperlink r:id="rId10" w:history="1">
        <w:r w:rsidRPr="00830114">
          <w:rPr>
            <w:rStyle w:val="Hyperlink"/>
            <w:rFonts w:cs="Arial"/>
            <w:sz w:val="18"/>
            <w:szCs w:val="20"/>
            <w:lang w:val="it-IT"/>
          </w:rPr>
          <w:t>paolo.acuti@alperia.eu</w:t>
        </w:r>
      </w:hyperlink>
      <w:r>
        <w:rPr>
          <w:rFonts w:cs="Arial"/>
          <w:sz w:val="18"/>
          <w:szCs w:val="20"/>
          <w:lang w:val="it-IT"/>
        </w:rPr>
        <w:tab/>
      </w:r>
      <w:r>
        <w:rPr>
          <w:rFonts w:cs="Arial"/>
          <w:sz w:val="18"/>
          <w:szCs w:val="20"/>
          <w:lang w:val="it-IT"/>
        </w:rPr>
        <w:tab/>
      </w:r>
      <w:r>
        <w:rPr>
          <w:rFonts w:cs="Arial"/>
          <w:sz w:val="18"/>
          <w:szCs w:val="20"/>
          <w:lang w:val="it-IT"/>
        </w:rPr>
        <w:tab/>
      </w:r>
      <w:r>
        <w:rPr>
          <w:rFonts w:cs="Arial"/>
          <w:sz w:val="18"/>
          <w:szCs w:val="20"/>
          <w:lang w:val="it-IT"/>
        </w:rPr>
        <w:tab/>
      </w:r>
      <w:r w:rsidRPr="00157094">
        <w:rPr>
          <w:rFonts w:cs="Arial"/>
          <w:sz w:val="18"/>
          <w:szCs w:val="20"/>
          <w:u w:val="single"/>
          <w:lang w:val="it-IT"/>
        </w:rPr>
        <w:t>stefan.stabler@alperia.eu</w:t>
      </w:r>
      <w:r w:rsidRPr="00912D22">
        <w:rPr>
          <w:rFonts w:cs="Arial"/>
          <w:sz w:val="18"/>
          <w:szCs w:val="20"/>
          <w:lang w:val="it-IT"/>
        </w:rPr>
        <w:t xml:space="preserve"> </w:t>
      </w:r>
    </w:p>
    <w:p w14:paraId="46DF3EDA" w14:textId="77777777" w:rsidR="003A7F87" w:rsidRPr="00403A87" w:rsidRDefault="003A7F87" w:rsidP="007D16AB">
      <w:pPr>
        <w:pStyle w:val="Betreffzeile"/>
        <w:jc w:val="both"/>
        <w:rPr>
          <w:lang w:val="it-IT"/>
        </w:rPr>
      </w:pPr>
    </w:p>
    <w:sectPr w:rsidR="003A7F87" w:rsidRPr="00403A87" w:rsidSect="00811999">
      <w:headerReference w:type="default" r:id="rId11"/>
      <w:footerReference w:type="default" r:id="rId12"/>
      <w:headerReference w:type="first" r:id="rId13"/>
      <w:footerReference w:type="first" r:id="rId14"/>
      <w:pgSz w:w="11906" w:h="16838" w:code="9"/>
      <w:pgMar w:top="3062" w:right="990" w:bottom="624" w:left="1418" w:header="454"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D9028" w14:textId="77777777" w:rsidR="00811999" w:rsidRDefault="00811999" w:rsidP="00D422E5">
      <w:pPr>
        <w:spacing w:line="240" w:lineRule="auto"/>
      </w:pPr>
      <w:r>
        <w:separator/>
      </w:r>
    </w:p>
  </w:endnote>
  <w:endnote w:type="continuationSeparator" w:id="0">
    <w:p w14:paraId="653E0625" w14:textId="77777777" w:rsidR="00811999" w:rsidRDefault="00811999" w:rsidP="00D422E5">
      <w:pPr>
        <w:spacing w:line="240" w:lineRule="auto"/>
      </w:pPr>
      <w:r>
        <w:continuationSeparator/>
      </w:r>
    </w:p>
  </w:endnote>
  <w:endnote w:type="continuationNotice" w:id="1">
    <w:p w14:paraId="71BC1699" w14:textId="77777777" w:rsidR="00811999" w:rsidRDefault="0081199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36678" w14:textId="77777777" w:rsidR="00781CC7" w:rsidRPr="002A1DF0" w:rsidRDefault="00781CC7" w:rsidP="002A1DF0">
    <w:pPr>
      <w:pStyle w:val="Seitenzahl"/>
    </w:pPr>
    <w:r w:rsidRPr="002A1DF0">
      <w:fldChar w:fldCharType="begin"/>
    </w:r>
    <w:r w:rsidRPr="002A1DF0">
      <w:instrText xml:space="preserve"> PAGE   \* MERGEFORMAT </w:instrText>
    </w:r>
    <w:r w:rsidRPr="002A1DF0">
      <w:fldChar w:fldCharType="separate"/>
    </w:r>
    <w:r w:rsidR="00607D11">
      <w:rPr>
        <w:noProof/>
      </w:rPr>
      <w:t>2</w:t>
    </w:r>
    <w:r w:rsidRPr="002A1DF0">
      <w:fldChar w:fldCharType="end"/>
    </w:r>
    <w:r w:rsidRPr="002A1DF0">
      <w:t>/</w:t>
    </w:r>
    <w:r w:rsidR="00FA5992">
      <w:rPr>
        <w:noProof/>
      </w:rPr>
      <w:fldChar w:fldCharType="begin"/>
    </w:r>
    <w:r w:rsidR="00FA5992">
      <w:rPr>
        <w:noProof/>
      </w:rPr>
      <w:instrText xml:space="preserve"> NUMPAGES   \* MERGEFORMAT </w:instrText>
    </w:r>
    <w:r w:rsidR="00FA5992">
      <w:rPr>
        <w:noProof/>
      </w:rPr>
      <w:fldChar w:fldCharType="separate"/>
    </w:r>
    <w:r w:rsidR="00607D11">
      <w:rPr>
        <w:noProof/>
      </w:rPr>
      <w:t>2</w:t>
    </w:r>
    <w:r w:rsidR="00FA599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52C66" w14:textId="77777777" w:rsidR="00DF4BE9" w:rsidRDefault="004A731A">
    <w:pPr>
      <w:pStyle w:val="Fuzeile"/>
    </w:pPr>
    <w:r>
      <w:rPr>
        <w:noProof/>
        <w:lang w:val="it-IT" w:eastAsia="it-IT"/>
      </w:rPr>
      <w:drawing>
        <wp:anchor distT="0" distB="0" distL="114300" distR="114300" simplePos="0" relativeHeight="251661313" behindDoc="0" locked="0" layoutInCell="1" allowOverlap="1" wp14:anchorId="62BBCE14" wp14:editId="59DDCBCD">
          <wp:simplePos x="0" y="0"/>
          <wp:positionH relativeFrom="column">
            <wp:posOffset>-763270</wp:posOffset>
          </wp:positionH>
          <wp:positionV relativeFrom="paragraph">
            <wp:posOffset>145638</wp:posOffset>
          </wp:positionV>
          <wp:extent cx="681877" cy="932756"/>
          <wp:effectExtent l="0" t="0" r="4445" b="0"/>
          <wp:wrapNone/>
          <wp:docPr id="1799304387" name="Immagine 1" descr="Immagine che contiene testo, Elementi grafici, log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304387" name="Immagine 1" descr="Immagine che contiene testo, Elementi grafici, logo, Carattere&#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81877" cy="932756"/>
                  </a:xfrm>
                  <a:prstGeom prst="rect">
                    <a:avLst/>
                  </a:prstGeom>
                </pic:spPr>
              </pic:pic>
            </a:graphicData>
          </a:graphic>
          <wp14:sizeRelH relativeFrom="page">
            <wp14:pctWidth>0</wp14:pctWidth>
          </wp14:sizeRelH>
          <wp14:sizeRelV relativeFrom="page">
            <wp14:pctHeight>0</wp14:pctHeight>
          </wp14:sizeRelV>
        </wp:anchor>
      </w:drawing>
    </w:r>
    <w:r w:rsidR="00DF4BE9">
      <w:rPr>
        <w:noProof/>
        <w:lang w:val="it-IT" w:eastAsia="it-IT"/>
      </w:rPr>
      <w:drawing>
        <wp:anchor distT="0" distB="0" distL="114300" distR="114300" simplePos="0" relativeHeight="251659265" behindDoc="0" locked="0" layoutInCell="1" allowOverlap="1" wp14:anchorId="2CE05EF3" wp14:editId="36A76433">
          <wp:simplePos x="0" y="0"/>
          <wp:positionH relativeFrom="column">
            <wp:posOffset>4773930</wp:posOffset>
          </wp:positionH>
          <wp:positionV relativeFrom="paragraph">
            <wp:posOffset>120100</wp:posOffset>
          </wp:positionV>
          <wp:extent cx="1285240" cy="921935"/>
          <wp:effectExtent l="0" t="0" r="0" b="5715"/>
          <wp:wrapNone/>
          <wp:docPr id="769693018" name="Immagine 769693018" descr="Immagine che contiene Carattere, testo, schermata,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731763" name="Immagine 1" descr="Immagine che contiene Carattere, testo, schermata, Elementi grafici&#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294268" cy="928411"/>
                  </a:xfrm>
                  <a:prstGeom prst="rect">
                    <a:avLst/>
                  </a:prstGeom>
                </pic:spPr>
              </pic:pic>
            </a:graphicData>
          </a:graphic>
          <wp14:sizeRelH relativeFrom="page">
            <wp14:pctWidth>0</wp14:pctWidth>
          </wp14:sizeRelH>
          <wp14:sizeRelV relativeFrom="page">
            <wp14:pctHeight>0</wp14:pctHeight>
          </wp14:sizeRelV>
        </wp:anchor>
      </w:drawing>
    </w:r>
    <w:r w:rsidR="00D7284E" w:rsidRPr="00D7284E">
      <w:rPr>
        <w:noProof/>
        <w:lang w:val="it-IT" w:eastAsia="it-IT"/>
      </w:rPr>
      <w:t xml:space="preserve"> </w:t>
    </w:r>
  </w:p>
  <w:p w14:paraId="477519E0" w14:textId="77777777" w:rsidR="00335A0A" w:rsidRDefault="00D87EBD">
    <w:pPr>
      <w:pStyle w:val="Fuzeile"/>
    </w:pPr>
    <w:r>
      <w:rPr>
        <w:noProof/>
        <w:lang w:val="it-IT" w:eastAsia="it-IT"/>
      </w:rPr>
      <w:drawing>
        <wp:inline distT="0" distB="0" distL="0" distR="0" wp14:anchorId="4EBBBCC9" wp14:editId="13465712">
          <wp:extent cx="4673600" cy="927100"/>
          <wp:effectExtent l="0" t="0" r="0" b="0"/>
          <wp:docPr id="1950187139" name="Immagine 3" descr="Immagine che contiene testo, schermata, Carattere, n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187139" name="Immagine 3" descr="Immagine che contiene testo, schermata, Carattere, nero&#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4673600" cy="9271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4E0C6" w14:textId="77777777" w:rsidR="00811999" w:rsidRDefault="00811999" w:rsidP="00D422E5">
      <w:pPr>
        <w:spacing w:line="240" w:lineRule="auto"/>
      </w:pPr>
      <w:r>
        <w:separator/>
      </w:r>
    </w:p>
  </w:footnote>
  <w:footnote w:type="continuationSeparator" w:id="0">
    <w:p w14:paraId="2C870CE5" w14:textId="77777777" w:rsidR="00811999" w:rsidRDefault="00811999" w:rsidP="00D422E5">
      <w:pPr>
        <w:spacing w:line="240" w:lineRule="auto"/>
      </w:pPr>
      <w:r>
        <w:continuationSeparator/>
      </w:r>
    </w:p>
  </w:footnote>
  <w:footnote w:type="continuationNotice" w:id="1">
    <w:p w14:paraId="18A818E4" w14:textId="77777777" w:rsidR="00811999" w:rsidRDefault="0081199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1816D" w14:textId="77777777" w:rsidR="00F55C2A" w:rsidRPr="00F55C2A" w:rsidRDefault="00F55C2A" w:rsidP="00BD1204">
    <w:pPr>
      <w:pStyle w:val="Kopfzeile"/>
      <w:rPr>
        <w:b/>
        <w:bCs/>
      </w:rPr>
    </w:pPr>
    <w:r>
      <w:rPr>
        <w:noProof/>
      </w:rPr>
      <w:drawing>
        <wp:anchor distT="0" distB="0" distL="114300" distR="114300" simplePos="0" relativeHeight="251666433" behindDoc="0" locked="0" layoutInCell="1" allowOverlap="1" wp14:anchorId="115FC0A4" wp14:editId="216E0CAD">
          <wp:simplePos x="0" y="0"/>
          <wp:positionH relativeFrom="column">
            <wp:posOffset>4759960</wp:posOffset>
          </wp:positionH>
          <wp:positionV relativeFrom="paragraph">
            <wp:posOffset>149225</wp:posOffset>
          </wp:positionV>
          <wp:extent cx="1501140" cy="500380"/>
          <wp:effectExtent l="0" t="0" r="0" b="0"/>
          <wp:wrapNone/>
          <wp:docPr id="616238044" name="Immagine 616238044" descr="Immagine che contiene Carattere, Elementi grafici, schermata,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410756" name="Immagine 2" descr="Immagine che contiene Carattere, Elementi grafici, schermata, grafic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501140" cy="500380"/>
                  </a:xfrm>
                  <a:prstGeom prst="rect">
                    <a:avLst/>
                  </a:prstGeom>
                </pic:spPr>
              </pic:pic>
            </a:graphicData>
          </a:graphic>
          <wp14:sizeRelH relativeFrom="page">
            <wp14:pctWidth>0</wp14:pctWidth>
          </wp14:sizeRelH>
          <wp14:sizeRelV relativeFrom="page">
            <wp14:pctHeight>0</wp14:pctHeight>
          </wp14:sizeRelV>
        </wp:anchor>
      </w:drawing>
    </w:r>
  </w:p>
  <w:tbl>
    <w:tblPr>
      <w:tblStyle w:val="Tabellenraster"/>
      <w:tblW w:w="0" w:type="auto"/>
      <w:tblLook w:val="04A0" w:firstRow="1" w:lastRow="0" w:firstColumn="1" w:lastColumn="0" w:noHBand="0" w:noVBand="1"/>
    </w:tblPr>
    <w:tblGrid>
      <w:gridCol w:w="9498"/>
    </w:tblGrid>
    <w:tr w:rsidR="00F55C2A" w14:paraId="1B86FA8F" w14:textId="77777777" w:rsidTr="00F55C2A">
      <w:tc>
        <w:tcPr>
          <w:tcW w:w="9498" w:type="dxa"/>
        </w:tcPr>
        <w:p w14:paraId="63CF1C8B" w14:textId="77777777" w:rsidR="00F55C2A" w:rsidRDefault="00F55C2A" w:rsidP="00BD1204">
          <w:pPr>
            <w:pStyle w:val="Kopfzeile"/>
            <w:rPr>
              <w:b/>
              <w:bCs/>
            </w:rPr>
          </w:pPr>
        </w:p>
      </w:tc>
    </w:tr>
  </w:tbl>
  <w:p w14:paraId="2446EF4E" w14:textId="77777777" w:rsidR="00335A0A" w:rsidRPr="00F55C2A" w:rsidRDefault="00335A0A" w:rsidP="00BD1204">
    <w:pPr>
      <w:pStyle w:val="Kopfzeile"/>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3A064" w14:textId="77777777" w:rsidR="00D422E5" w:rsidRDefault="006657A5" w:rsidP="006B0BF5">
    <w:pPr>
      <w:pStyle w:val="Kopfzeile"/>
      <w:tabs>
        <w:tab w:val="clear" w:pos="4536"/>
        <w:tab w:val="clear" w:pos="9072"/>
        <w:tab w:val="left" w:pos="546"/>
        <w:tab w:val="left" w:pos="6120"/>
      </w:tabs>
      <w:spacing w:after="4560"/>
    </w:pPr>
    <w:r>
      <w:rPr>
        <w:noProof/>
      </w:rPr>
      <w:drawing>
        <wp:anchor distT="0" distB="0" distL="114300" distR="114300" simplePos="0" relativeHeight="251660289" behindDoc="0" locked="0" layoutInCell="1" allowOverlap="1" wp14:anchorId="15E90C10" wp14:editId="288072AB">
          <wp:simplePos x="0" y="0"/>
          <wp:positionH relativeFrom="column">
            <wp:posOffset>4756785</wp:posOffset>
          </wp:positionH>
          <wp:positionV relativeFrom="paragraph">
            <wp:posOffset>191479</wp:posOffset>
          </wp:positionV>
          <wp:extent cx="1501140" cy="500380"/>
          <wp:effectExtent l="0" t="0" r="0" b="0"/>
          <wp:wrapNone/>
          <wp:docPr id="496154883" name="Immagine 496154883" descr="Immagine che contiene Carattere, Elementi grafici, schermata,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410756" name="Immagine 2" descr="Immagine che contiene Carattere, Elementi grafici, schermata, grafic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501140" cy="500380"/>
                  </a:xfrm>
                  <a:prstGeom prst="rect">
                    <a:avLst/>
                  </a:prstGeom>
                </pic:spPr>
              </pic:pic>
            </a:graphicData>
          </a:graphic>
          <wp14:sizeRelH relativeFrom="page">
            <wp14:pctWidth>0</wp14:pctWidth>
          </wp14:sizeRelH>
          <wp14:sizeRelV relativeFrom="page">
            <wp14:pctHeight>0</wp14:pctHeight>
          </wp14:sizeRelV>
        </wp:anchor>
      </w:drawing>
    </w:r>
    <w:r w:rsidR="006E492E">
      <w:tab/>
    </w:r>
    <w:r w:rsidR="006B0BF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6A46D9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590234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37CD89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578F9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C732680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BE85535"/>
    <w:multiLevelType w:val="hybridMultilevel"/>
    <w:tmpl w:val="6F325A12"/>
    <w:lvl w:ilvl="0" w:tplc="DB723D7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1514FA2"/>
    <w:multiLevelType w:val="hybridMultilevel"/>
    <w:tmpl w:val="6B645A4A"/>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3A4B32"/>
    <w:multiLevelType w:val="hybridMultilevel"/>
    <w:tmpl w:val="39CA5C3E"/>
    <w:lvl w:ilvl="0" w:tplc="9524248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0529484">
    <w:abstractNumId w:val="4"/>
  </w:num>
  <w:num w:numId="2" w16cid:durableId="770784028">
    <w:abstractNumId w:val="3"/>
  </w:num>
  <w:num w:numId="3" w16cid:durableId="1671789148">
    <w:abstractNumId w:val="2"/>
  </w:num>
  <w:num w:numId="4" w16cid:durableId="1599824989">
    <w:abstractNumId w:val="1"/>
  </w:num>
  <w:num w:numId="5" w16cid:durableId="1790590177">
    <w:abstractNumId w:val="0"/>
  </w:num>
  <w:num w:numId="6" w16cid:durableId="974405300">
    <w:abstractNumId w:val="6"/>
  </w:num>
  <w:num w:numId="7" w16cid:durableId="1353071785">
    <w:abstractNumId w:val="7"/>
  </w:num>
  <w:num w:numId="8" w16cid:durableId="14866320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999"/>
    <w:rsid w:val="00034E0E"/>
    <w:rsid w:val="00036BCF"/>
    <w:rsid w:val="00042894"/>
    <w:rsid w:val="00065D10"/>
    <w:rsid w:val="00067C10"/>
    <w:rsid w:val="000D3AFD"/>
    <w:rsid w:val="000D4EA2"/>
    <w:rsid w:val="000E6E7E"/>
    <w:rsid w:val="00111CB4"/>
    <w:rsid w:val="00121547"/>
    <w:rsid w:val="00171333"/>
    <w:rsid w:val="00176CFB"/>
    <w:rsid w:val="00177930"/>
    <w:rsid w:val="001E1599"/>
    <w:rsid w:val="00227F25"/>
    <w:rsid w:val="002537EB"/>
    <w:rsid w:val="002868C8"/>
    <w:rsid w:val="00290D19"/>
    <w:rsid w:val="00295C0B"/>
    <w:rsid w:val="002A1DF0"/>
    <w:rsid w:val="002A4C68"/>
    <w:rsid w:val="002A6C3B"/>
    <w:rsid w:val="002B7BF9"/>
    <w:rsid w:val="002C4E31"/>
    <w:rsid w:val="00317C6D"/>
    <w:rsid w:val="00335A0A"/>
    <w:rsid w:val="00337CD0"/>
    <w:rsid w:val="00343E42"/>
    <w:rsid w:val="00383823"/>
    <w:rsid w:val="003A7F87"/>
    <w:rsid w:val="004034C6"/>
    <w:rsid w:val="00403A87"/>
    <w:rsid w:val="00406E7A"/>
    <w:rsid w:val="00416429"/>
    <w:rsid w:val="00416A50"/>
    <w:rsid w:val="004274DF"/>
    <w:rsid w:val="00435962"/>
    <w:rsid w:val="0045255C"/>
    <w:rsid w:val="0046207C"/>
    <w:rsid w:val="0047128D"/>
    <w:rsid w:val="004922DE"/>
    <w:rsid w:val="004A731A"/>
    <w:rsid w:val="00522ED2"/>
    <w:rsid w:val="00535EA3"/>
    <w:rsid w:val="0053736E"/>
    <w:rsid w:val="00543EB4"/>
    <w:rsid w:val="00555C3A"/>
    <w:rsid w:val="00567B01"/>
    <w:rsid w:val="005C0E97"/>
    <w:rsid w:val="005D2ECF"/>
    <w:rsid w:val="005E50B1"/>
    <w:rsid w:val="005F1235"/>
    <w:rsid w:val="00603C44"/>
    <w:rsid w:val="00607D11"/>
    <w:rsid w:val="00612670"/>
    <w:rsid w:val="0062007A"/>
    <w:rsid w:val="00650B96"/>
    <w:rsid w:val="006612EA"/>
    <w:rsid w:val="006657A5"/>
    <w:rsid w:val="00680D53"/>
    <w:rsid w:val="006A3DF9"/>
    <w:rsid w:val="006B0BF5"/>
    <w:rsid w:val="006B2B6E"/>
    <w:rsid w:val="006D4FD0"/>
    <w:rsid w:val="006E2702"/>
    <w:rsid w:val="006E492E"/>
    <w:rsid w:val="006F75A4"/>
    <w:rsid w:val="00714A5D"/>
    <w:rsid w:val="0071603A"/>
    <w:rsid w:val="00725453"/>
    <w:rsid w:val="007473D5"/>
    <w:rsid w:val="00777D67"/>
    <w:rsid w:val="00781CC7"/>
    <w:rsid w:val="0078463B"/>
    <w:rsid w:val="007A1FA0"/>
    <w:rsid w:val="007D16AB"/>
    <w:rsid w:val="007D6633"/>
    <w:rsid w:val="007E2E50"/>
    <w:rsid w:val="007E5E96"/>
    <w:rsid w:val="007F0643"/>
    <w:rsid w:val="007F2482"/>
    <w:rsid w:val="00811999"/>
    <w:rsid w:val="008832AD"/>
    <w:rsid w:val="008F4DAE"/>
    <w:rsid w:val="009108C1"/>
    <w:rsid w:val="0092195D"/>
    <w:rsid w:val="009309D7"/>
    <w:rsid w:val="009474EB"/>
    <w:rsid w:val="00967459"/>
    <w:rsid w:val="0098768C"/>
    <w:rsid w:val="00992E22"/>
    <w:rsid w:val="009A16CA"/>
    <w:rsid w:val="009C6642"/>
    <w:rsid w:val="00A010B9"/>
    <w:rsid w:val="00A17CD7"/>
    <w:rsid w:val="00A2566E"/>
    <w:rsid w:val="00A42C16"/>
    <w:rsid w:val="00A47717"/>
    <w:rsid w:val="00A820D6"/>
    <w:rsid w:val="00A8683D"/>
    <w:rsid w:val="00AA0A98"/>
    <w:rsid w:val="00AA77A0"/>
    <w:rsid w:val="00AC1C3C"/>
    <w:rsid w:val="00B10DE1"/>
    <w:rsid w:val="00B20306"/>
    <w:rsid w:val="00B556F7"/>
    <w:rsid w:val="00B759CF"/>
    <w:rsid w:val="00B93A55"/>
    <w:rsid w:val="00B960AD"/>
    <w:rsid w:val="00BA218E"/>
    <w:rsid w:val="00BD1204"/>
    <w:rsid w:val="00BE4D66"/>
    <w:rsid w:val="00C52ACF"/>
    <w:rsid w:val="00CA1284"/>
    <w:rsid w:val="00CA7E89"/>
    <w:rsid w:val="00CC2EC5"/>
    <w:rsid w:val="00CD3814"/>
    <w:rsid w:val="00D336E4"/>
    <w:rsid w:val="00D363C0"/>
    <w:rsid w:val="00D37F6F"/>
    <w:rsid w:val="00D422E5"/>
    <w:rsid w:val="00D43EC2"/>
    <w:rsid w:val="00D7284E"/>
    <w:rsid w:val="00D72A2D"/>
    <w:rsid w:val="00D87EBD"/>
    <w:rsid w:val="00DB0A17"/>
    <w:rsid w:val="00DB76D3"/>
    <w:rsid w:val="00DB7B76"/>
    <w:rsid w:val="00DE5EAE"/>
    <w:rsid w:val="00DF1AF8"/>
    <w:rsid w:val="00DF4BE9"/>
    <w:rsid w:val="00E038CA"/>
    <w:rsid w:val="00E32996"/>
    <w:rsid w:val="00E61A42"/>
    <w:rsid w:val="00E7366A"/>
    <w:rsid w:val="00E77A35"/>
    <w:rsid w:val="00E854EE"/>
    <w:rsid w:val="00EB2AB6"/>
    <w:rsid w:val="00EF46F1"/>
    <w:rsid w:val="00EF5105"/>
    <w:rsid w:val="00F071FF"/>
    <w:rsid w:val="00F27575"/>
    <w:rsid w:val="00F44010"/>
    <w:rsid w:val="00F55C2A"/>
    <w:rsid w:val="00F71CAB"/>
    <w:rsid w:val="00FA4A87"/>
    <w:rsid w:val="00FA5992"/>
    <w:rsid w:val="00FC68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C9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403A87"/>
    <w:pPr>
      <w:spacing w:after="0" w:line="280" w:lineRule="atLeast"/>
    </w:pPr>
    <w:rPr>
      <w:rFonts w:ascii="Arial" w:hAnsi="Arial"/>
      <w:kern w:val="8"/>
      <w:sz w:val="20"/>
    </w:rPr>
  </w:style>
  <w:style w:type="paragraph" w:styleId="berschrift2">
    <w:name w:val="heading 2"/>
    <w:basedOn w:val="Standard"/>
    <w:next w:val="Standard"/>
    <w:link w:val="berschrift2Zchn"/>
    <w:uiPriority w:val="9"/>
    <w:semiHidden/>
    <w:qFormat/>
    <w:rsid w:val="006612EA"/>
    <w:pPr>
      <w:keepNext/>
      <w:keepLines/>
      <w:spacing w:before="200"/>
      <w:outlineLvl w:val="1"/>
    </w:pPr>
    <w:rPr>
      <w:rFonts w:asciiTheme="majorHAnsi" w:eastAsiaTheme="majorEastAsia" w:hAnsiTheme="majorHAnsi" w:cstheme="majorBidi"/>
      <w:b/>
      <w:bCs/>
      <w:color w:val="ECF1E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semiHidden/>
    <w:qFormat/>
    <w:rsid w:val="006612EA"/>
    <w:pPr>
      <w:spacing w:after="0" w:line="240" w:lineRule="auto"/>
    </w:pPr>
  </w:style>
  <w:style w:type="character" w:customStyle="1" w:styleId="berschrift2Zchn">
    <w:name w:val="Überschrift 2 Zchn"/>
    <w:basedOn w:val="Absatz-Standardschriftart"/>
    <w:link w:val="berschrift2"/>
    <w:uiPriority w:val="9"/>
    <w:semiHidden/>
    <w:rsid w:val="006612EA"/>
    <w:rPr>
      <w:rFonts w:asciiTheme="majorHAnsi" w:eastAsiaTheme="majorEastAsia" w:hAnsiTheme="majorHAnsi" w:cstheme="majorBidi"/>
      <w:b/>
      <w:bCs/>
      <w:color w:val="ECF1ED" w:themeColor="accent1"/>
      <w:sz w:val="26"/>
      <w:szCs w:val="26"/>
    </w:rPr>
  </w:style>
  <w:style w:type="paragraph" w:styleId="Kopfzeile">
    <w:name w:val="header"/>
    <w:basedOn w:val="Standard"/>
    <w:link w:val="KopfzeileZchn"/>
    <w:uiPriority w:val="99"/>
    <w:semiHidden/>
    <w:rsid w:val="00BD1204"/>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BD1204"/>
    <w:rPr>
      <w:rFonts w:ascii="Arial" w:hAnsi="Arial"/>
      <w:kern w:val="8"/>
      <w:sz w:val="20"/>
    </w:rPr>
  </w:style>
  <w:style w:type="paragraph" w:styleId="Fuzeile">
    <w:name w:val="footer"/>
    <w:basedOn w:val="Standard"/>
    <w:link w:val="FuzeileZchn"/>
    <w:uiPriority w:val="99"/>
    <w:semiHidden/>
    <w:rsid w:val="00D422E5"/>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227F25"/>
    <w:rPr>
      <w:rFonts w:ascii="Arial" w:hAnsi="Arial"/>
      <w:kern w:val="8"/>
      <w:sz w:val="20"/>
    </w:rPr>
  </w:style>
  <w:style w:type="table" w:styleId="Tabellenraster">
    <w:name w:val="Table Grid"/>
    <w:basedOn w:val="NormaleTabelle"/>
    <w:uiPriority w:val="59"/>
    <w:rsid w:val="002C4E31"/>
    <w:pPr>
      <w:spacing w:after="0" w:line="240" w:lineRule="auto"/>
    </w:pPr>
    <w:tblPr>
      <w:tblCellMar>
        <w:left w:w="0" w:type="dxa"/>
        <w:right w:w="0" w:type="dxa"/>
      </w:tblCellMar>
    </w:tblPr>
  </w:style>
  <w:style w:type="paragraph" w:styleId="Sprechblasentext">
    <w:name w:val="Balloon Text"/>
    <w:basedOn w:val="Standard"/>
    <w:link w:val="SprechblasentextZchn"/>
    <w:uiPriority w:val="99"/>
    <w:semiHidden/>
    <w:unhideWhenUsed/>
    <w:rsid w:val="00335A0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5A0A"/>
    <w:rPr>
      <w:rFonts w:ascii="Tahoma" w:hAnsi="Tahoma" w:cs="Tahoma"/>
      <w:kern w:val="8"/>
      <w:sz w:val="16"/>
      <w:szCs w:val="16"/>
    </w:rPr>
  </w:style>
  <w:style w:type="paragraph" w:customStyle="1" w:styleId="Betreffzeile">
    <w:name w:val="_Betreffzeile"/>
    <w:basedOn w:val="Standard"/>
    <w:qFormat/>
    <w:rsid w:val="00335A0A"/>
    <w:rPr>
      <w:b/>
    </w:rPr>
  </w:style>
  <w:style w:type="paragraph" w:customStyle="1" w:styleId="Datum">
    <w:name w:val="_Datum"/>
    <w:basedOn w:val="Standard"/>
    <w:qFormat/>
    <w:rsid w:val="00335A0A"/>
    <w:pPr>
      <w:framePr w:wrap="around" w:vAnchor="page" w:hAnchor="margin" w:y="3091"/>
      <w:spacing w:line="210" w:lineRule="atLeast"/>
      <w:suppressOverlap/>
    </w:pPr>
    <w:rPr>
      <w:sz w:val="16"/>
      <w:szCs w:val="16"/>
    </w:rPr>
  </w:style>
  <w:style w:type="paragraph" w:customStyle="1" w:styleId="Seitenzahl">
    <w:name w:val="_Seitenzahl"/>
    <w:basedOn w:val="Standard"/>
    <w:qFormat/>
    <w:rsid w:val="002A1DF0"/>
    <w:pPr>
      <w:spacing w:line="210" w:lineRule="exact"/>
    </w:pPr>
    <w:rPr>
      <w:sz w:val="16"/>
      <w:szCs w:val="16"/>
    </w:rPr>
  </w:style>
  <w:style w:type="paragraph" w:styleId="Listenabsatz">
    <w:name w:val="List Paragraph"/>
    <w:basedOn w:val="Standard"/>
    <w:uiPriority w:val="34"/>
    <w:qFormat/>
    <w:rsid w:val="00811999"/>
    <w:pPr>
      <w:spacing w:after="160" w:line="259" w:lineRule="auto"/>
      <w:ind w:left="720"/>
      <w:contextualSpacing/>
    </w:pPr>
    <w:rPr>
      <w:rFonts w:ascii="Calibri" w:eastAsia="Calibri" w:hAnsi="Calibri" w:cs="Times New Roman"/>
      <w:kern w:val="0"/>
      <w:sz w:val="22"/>
      <w:lang w:val="it-IT"/>
    </w:rPr>
  </w:style>
  <w:style w:type="character" w:styleId="Hyperlink">
    <w:name w:val="Hyperlink"/>
    <w:basedOn w:val="Absatz-Standardschriftart"/>
    <w:uiPriority w:val="99"/>
    <w:unhideWhenUsed/>
    <w:rsid w:val="00811999"/>
    <w:rPr>
      <w:color w:val="00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752836">
      <w:bodyDiv w:val="1"/>
      <w:marLeft w:val="0"/>
      <w:marRight w:val="0"/>
      <w:marTop w:val="0"/>
      <w:marBottom w:val="0"/>
      <w:divBdr>
        <w:top w:val="none" w:sz="0" w:space="0" w:color="auto"/>
        <w:left w:val="none" w:sz="0" w:space="0" w:color="auto"/>
        <w:bottom w:val="none" w:sz="0" w:space="0" w:color="auto"/>
        <w:right w:val="none" w:sz="0" w:space="0" w:color="auto"/>
      </w:divBdr>
    </w:div>
    <w:div w:id="1565333506">
      <w:bodyDiv w:val="1"/>
      <w:marLeft w:val="0"/>
      <w:marRight w:val="0"/>
      <w:marTop w:val="0"/>
      <w:marBottom w:val="0"/>
      <w:divBdr>
        <w:top w:val="none" w:sz="0" w:space="0" w:color="auto"/>
        <w:left w:val="none" w:sz="0" w:space="0" w:color="auto"/>
        <w:bottom w:val="none" w:sz="0" w:space="0" w:color="auto"/>
        <w:right w:val="none" w:sz="0" w:space="0" w:color="auto"/>
      </w:divBdr>
    </w:div>
    <w:div w:id="192133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aolo.acuti@alperia.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rp.local\dfs\NETAP\Template_Office\Holding\Alperia%20AG-SpA.dotx" TargetMode="External"/></Relationships>
</file>

<file path=word/theme/theme1.xml><?xml version="1.0" encoding="utf-8"?>
<a:theme xmlns:a="http://schemas.openxmlformats.org/drawingml/2006/main" name="Larissa">
  <a:themeElements>
    <a:clrScheme name="alperia">
      <a:dk1>
        <a:sysClr val="windowText" lastClr="000000"/>
      </a:dk1>
      <a:lt1>
        <a:sysClr val="window" lastClr="FFFFFF"/>
      </a:lt1>
      <a:dk2>
        <a:srgbClr val="1F497D"/>
      </a:dk2>
      <a:lt2>
        <a:srgbClr val="EEECE1"/>
      </a:lt2>
      <a:accent1>
        <a:srgbClr val="ECF1ED"/>
      </a:accent1>
      <a:accent2>
        <a:srgbClr val="C8D7DA"/>
      </a:accent2>
      <a:accent3>
        <a:srgbClr val="7C909A"/>
      </a:accent3>
      <a:accent4>
        <a:srgbClr val="617179"/>
      </a:accent4>
      <a:accent5>
        <a:srgbClr val="485961"/>
      </a:accent5>
      <a:accent6>
        <a:srgbClr val="FFFFFF"/>
      </a:accent6>
      <a:hlink>
        <a:srgbClr val="000000"/>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C99084828503A45B316A33B173E5E73" ma:contentTypeVersion="16" ma:contentTypeDescription="Creare un nuovo documento." ma:contentTypeScope="" ma:versionID="824e80b8cf05be77db8ee9b5d026da3b">
  <xsd:schema xmlns:xsd="http://www.w3.org/2001/XMLSchema" xmlns:xs="http://www.w3.org/2001/XMLSchema" xmlns:p="http://schemas.microsoft.com/office/2006/metadata/properties" xmlns:ns2="bad7dacd-45fe-4321-8003-dab9b17a4a51" xmlns:ns3="8d0dc1c9-320a-484e-bd36-dac01334dc30" targetNamespace="http://schemas.microsoft.com/office/2006/metadata/properties" ma:root="true" ma:fieldsID="fea4d60930393ced5f4ff56839239ba1" ns2:_="" ns3:_="">
    <xsd:import namespace="bad7dacd-45fe-4321-8003-dab9b17a4a51"/>
    <xsd:import namespace="8d0dc1c9-320a-484e-bd36-dac01334dc30"/>
    <xsd:element name="properties">
      <xsd:complexType>
        <xsd:sequence>
          <xsd:element name="documentManagement">
            <xsd:complexType>
              <xsd:all>
                <xsd:element ref="ns2:Sort"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d7dacd-45fe-4321-8003-dab9b17a4a51" elementFormDefault="qualified">
    <xsd:import namespace="http://schemas.microsoft.com/office/2006/documentManagement/types"/>
    <xsd:import namespace="http://schemas.microsoft.com/office/infopath/2007/PartnerControls"/>
    <xsd:element name="Sort" ma:index="8" nillable="true" ma:displayName="Sort" ma:decimals="0" ma:format="Dropdown" ma:indexed="true" ma:internalName="Sort" ma:percentage="FALSE">
      <xsd:simpleType>
        <xsd:restriction base="dms:Number"/>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745fa279-d6e6-4207-bdd8-21c11d6b573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0dc1c9-320a-484e-bd36-dac01334dc3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d8314b9-0f1f-4db6-a215-e185792d5539}" ma:internalName="TaxCatchAll" ma:showField="CatchAllData" ma:web="8d0dc1c9-320a-484e-bd36-dac01334dc3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d7dacd-45fe-4321-8003-dab9b17a4a51">
      <Terms xmlns="http://schemas.microsoft.com/office/infopath/2007/PartnerControls"/>
    </lcf76f155ced4ddcb4097134ff3c332f>
    <TaxCatchAll xmlns="8d0dc1c9-320a-484e-bd36-dac01334dc30" xsi:nil="true"/>
    <Sort xmlns="bad7dacd-45fe-4321-8003-dab9b17a4a51" xsi:nil="true"/>
  </documentManagement>
</p:properties>
</file>

<file path=customXml/itemProps1.xml><?xml version="1.0" encoding="utf-8"?>
<ds:datastoreItem xmlns:ds="http://schemas.openxmlformats.org/officeDocument/2006/customXml" ds:itemID="{91F09303-DF06-4ABE-83B5-2CC7F9C73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d7dacd-45fe-4321-8003-dab9b17a4a51"/>
    <ds:schemaRef ds:uri="8d0dc1c9-320a-484e-bd36-dac01334d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F01B76-47D5-4C08-A3E7-0F5B4ED33D04}">
  <ds:schemaRefs>
    <ds:schemaRef ds:uri="http://schemas.microsoft.com/sharepoint/v3/contenttype/forms"/>
  </ds:schemaRefs>
</ds:datastoreItem>
</file>

<file path=customXml/itemProps3.xml><?xml version="1.0" encoding="utf-8"?>
<ds:datastoreItem xmlns:ds="http://schemas.openxmlformats.org/officeDocument/2006/customXml" ds:itemID="{6ADEAE4A-6DCD-4961-9F20-27BE0B660D1F}">
  <ds:schemaRefs>
    <ds:schemaRef ds:uri="http://schemas.microsoft.com/office/2006/metadata/properties"/>
    <ds:schemaRef ds:uri="http://schemas.microsoft.com/office/infopath/2007/PartnerControls"/>
    <ds:schemaRef ds:uri="bad7dacd-45fe-4321-8003-dab9b17a4a51"/>
    <ds:schemaRef ds:uri="8d0dc1c9-320a-484e-bd36-dac01334dc30"/>
  </ds:schemaRefs>
</ds:datastoreItem>
</file>

<file path=docProps/app.xml><?xml version="1.0" encoding="utf-8"?>
<Properties xmlns="http://schemas.openxmlformats.org/officeDocument/2006/extended-properties" xmlns:vt="http://schemas.openxmlformats.org/officeDocument/2006/docPropsVTypes">
  <Template>Alperia AG-SpA</Template>
  <TotalTime>0</TotalTime>
  <Pages>5</Pages>
  <Words>1920</Words>
  <Characters>12103</Characters>
  <Application>Microsoft Office Word</Application>
  <DocSecurity>0</DocSecurity>
  <Lines>100</Lines>
  <Paragraphs>27</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Brief Alperia</vt:lpstr>
      <vt:lpstr>Brief Alperia</vt:lpstr>
    </vt:vector>
  </TitlesOfParts>
  <LinksUpToDate>false</LinksUpToDate>
  <CharactersWithSpaces>13996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Alperia</dc:title>
  <dc:subject/>
  <dc:creator/>
  <cp:keywords/>
  <cp:lastModifiedBy/>
  <cp:revision>1</cp:revision>
  <dcterms:created xsi:type="dcterms:W3CDTF">2024-03-28T07:27:00Z</dcterms:created>
  <dcterms:modified xsi:type="dcterms:W3CDTF">2024-03-29T07:28:00Z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0x0101000C99084828503A45B316A33B173E5E73</vt:lpwstr>
  </property>
  <property fmtid="{D5CDD505-2E9C-101B-9397-08002B2CF9AE}" pid="3" name="MSIP_Label_5ffdc2ae-8b8e-4336-a2ed-7bb735391560_Enabled">
    <vt:lpwstr>true</vt:lpwstr>
  </property>
  <property fmtid="{D5CDD505-2E9C-101B-9397-08002B2CF9AE}" pid="4" name="MSIP_Label_5ffdc2ae-8b8e-4336-a2ed-7bb735391560_SetDate">
    <vt:lpwstr>2023-08-08T11:08:41Z</vt:lpwstr>
  </property>
  <property fmtid="{D5CDD505-2E9C-101B-9397-08002B2CF9AE}" pid="5" name="MSIP_Label_5ffdc2ae-8b8e-4336-a2ed-7bb735391560_Method">
    <vt:lpwstr>Standard</vt:lpwstr>
  </property>
  <property fmtid="{D5CDD505-2E9C-101B-9397-08002B2CF9AE}" pid="6" name="MSIP_Label_5ffdc2ae-8b8e-4336-a2ed-7bb735391560_Name">
    <vt:lpwstr>5ffdc2ae-8b8e-4336-a2ed-7bb735391560</vt:lpwstr>
  </property>
  <property fmtid="{D5CDD505-2E9C-101B-9397-08002B2CF9AE}" pid="7" name="MSIP_Label_5ffdc2ae-8b8e-4336-a2ed-7bb735391560_SiteId">
    <vt:lpwstr>08ce65a3-7b33-48f4-be57-9fee66f22921</vt:lpwstr>
  </property>
  <property fmtid="{D5CDD505-2E9C-101B-9397-08002B2CF9AE}" pid="8" name="MSIP_Label_5ffdc2ae-8b8e-4336-a2ed-7bb735391560_ActionId">
    <vt:lpwstr>ec770501-cbea-4879-9769-33d6b9c151e0</vt:lpwstr>
  </property>
  <property fmtid="{D5CDD505-2E9C-101B-9397-08002B2CF9AE}" pid="9" name="MSIP_Label_5ffdc2ae-8b8e-4336-a2ed-7bb735391560_ContentBits">
    <vt:lpwstr>0</vt:lpwstr>
  </property>
  <property fmtid="{D5CDD505-2E9C-101B-9397-08002B2CF9AE}" pid="10" name="MediaServiceImageTags">
    <vt:lpwstr/>
  </property>
</Properties>
</file>